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CE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>Дата 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="00006E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3CE" w:rsidRPr="005363CE" w:rsidRDefault="005363CE" w:rsidP="005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/>
      </w:tblPr>
      <w:tblGrid>
        <w:gridCol w:w="2830"/>
        <w:gridCol w:w="7797"/>
      </w:tblGrid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</w:tcPr>
          <w:p w:rsidR="00640A0D" w:rsidRPr="00705CA7" w:rsidRDefault="00640A0D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8" w:history="1"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640A0D" w:rsidTr="00E53DB0">
        <w:tc>
          <w:tcPr>
            <w:tcW w:w="2830" w:type="dxa"/>
          </w:tcPr>
          <w:p w:rsidR="00640A0D" w:rsidRPr="006D5D3F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проекта, в т.ч.: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</w:p>
          <w:p w:rsidR="00A63905" w:rsidRPr="00A63905" w:rsidRDefault="00A63905" w:rsidP="00A6390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Детальная смета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</w:t>
            </w:r>
            <w:proofErr w:type="gramStart"/>
            <w:r w:rsidR="00640A0D">
              <w:rPr>
                <w:rFonts w:ascii="Times New Roman" w:hAnsi="Times New Roman" w:cs="Times New Roman"/>
              </w:rPr>
              <w:t xml:space="preserve"> (%), </w:t>
            </w:r>
            <w:proofErr w:type="gramEnd"/>
            <w:r w:rsidR="00640A0D">
              <w:rPr>
                <w:rFonts w:ascii="Times New Roman" w:hAnsi="Times New Roman" w:cs="Times New Roman"/>
              </w:rPr>
              <w:t>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E53DB0">
        <w:tc>
          <w:tcPr>
            <w:tcW w:w="2830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 / срок / процентная ставка 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 xml:space="preserve"> / статус рассмотрения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797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 xml:space="preserve">место регистрации </w:t>
            </w:r>
            <w:r w:rsidR="007E7C43">
              <w:rPr>
                <w:rFonts w:ascii="Times New Roman" w:hAnsi="Times New Roman" w:cs="Times New Roman"/>
              </w:rPr>
              <w:t>/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7E7C43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собственности / структура группы компании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BF03BC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</w:t>
            </w:r>
            <w:r w:rsidR="00DC401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BF03BC" w:rsidRPr="00737533" w:rsidRDefault="00BF03BC" w:rsidP="006D5D3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87" w:type="dxa"/>
              <w:tblLook w:val="04A0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40B8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40B8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40B8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Группы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 xml:space="preserve"> / целевой вид деятельности</w:t>
            </w:r>
          </w:p>
          <w:p w:rsidR="00DC4018" w:rsidRDefault="007E7C43" w:rsidP="00DC40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 / 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C817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F67A5F" w:rsidRPr="00DC4018" w:rsidRDefault="00C817E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B11E0">
              <w:rPr>
                <w:rFonts w:ascii="Times New Roman" w:hAnsi="Times New Roman" w:cs="Times New Roman"/>
              </w:rPr>
              <w:t xml:space="preserve">/ 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 / конкурентные преимущества</w:t>
            </w:r>
          </w:p>
        </w:tc>
      </w:tr>
      <w:tr w:rsidR="00F33636" w:rsidTr="00994E9C">
        <w:tc>
          <w:tcPr>
            <w:tcW w:w="2830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2420DB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C817E0" w:rsidRDefault="008B2187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994E9C">
        <w:tc>
          <w:tcPr>
            <w:tcW w:w="2830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</w:tcPr>
          <w:p w:rsidR="00C276E4" w:rsidRDefault="00C817E0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994E9C">
        <w:tc>
          <w:tcPr>
            <w:tcW w:w="2830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</w:tcPr>
          <w:p w:rsidR="00A92FA4" w:rsidRDefault="00413E0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B05F30" w:rsidTr="00D8098A">
        <w:tc>
          <w:tcPr>
            <w:tcW w:w="2830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D8098A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  <w:proofErr w:type="gramEnd"/>
          </w:p>
        </w:tc>
      </w:tr>
      <w:tr w:rsidR="00726431" w:rsidTr="00994E9C">
        <w:tc>
          <w:tcPr>
            <w:tcW w:w="2830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</w:tcPr>
          <w:p w:rsidR="00B16A9D" w:rsidRDefault="00B16A9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B16A9D" w:rsidRDefault="00B05F3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994E9C">
        <w:tc>
          <w:tcPr>
            <w:tcW w:w="2830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Список/ 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D868BD" w:rsidRPr="00030EDE">
              <w:rPr>
                <w:rFonts w:ascii="Times New Roman" w:hAnsi="Times New Roman" w:cs="Times New Roman"/>
              </w:rPr>
              <w:t xml:space="preserve">/ 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994E9C">
        <w:tc>
          <w:tcPr>
            <w:tcW w:w="2830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030EDE" w:rsidRDefault="00F51205" w:rsidP="00030ED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 </w:t>
            </w:r>
            <w:r w:rsidR="00030EDE" w:rsidRPr="00030EDE">
              <w:rPr>
                <w:rFonts w:ascii="Times New Roman" w:hAnsi="Times New Roman" w:cs="Times New Roman"/>
              </w:rPr>
              <w:t xml:space="preserve">/ 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 / 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994E9C">
        <w:tc>
          <w:tcPr>
            <w:tcW w:w="2830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030EDE" w:rsidRDefault="00F51205" w:rsidP="00F91836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r w:rsidR="00030EDE">
              <w:rPr>
                <w:rFonts w:ascii="Times New Roman" w:hAnsi="Times New Roman" w:cs="Times New Roman"/>
              </w:rPr>
              <w:t>/ п</w:t>
            </w:r>
            <w:r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030EDE">
              <w:rPr>
                <w:rFonts w:ascii="Times New Roman" w:hAnsi="Times New Roman" w:cs="Times New Roman"/>
              </w:rPr>
              <w:t xml:space="preserve">/ 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D8098A">
        <w:tc>
          <w:tcPr>
            <w:tcW w:w="2830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4C44A8" w:rsidRDefault="00030EDE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994E9C">
        <w:tc>
          <w:tcPr>
            <w:tcW w:w="2830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 / в процессе / 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994E9C">
        <w:tc>
          <w:tcPr>
            <w:tcW w:w="2830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7797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 получения</w:t>
            </w:r>
          </w:p>
        </w:tc>
      </w:tr>
      <w:tr w:rsidR="006D5D3F" w:rsidRPr="00040929" w:rsidTr="00994E9C">
        <w:tc>
          <w:tcPr>
            <w:tcW w:w="2830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7797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493" w:type="dxa"/>
              <w:tblLook w:val="04A0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994E9C" w:rsidRPr="00BF03B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40B8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3" w:type="dxa"/>
                </w:tcPr>
                <w:p w:rsidR="00994E9C" w:rsidRPr="00156AC9" w:rsidRDefault="00994E9C" w:rsidP="00140B88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40B8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74" w:type="dxa"/>
                </w:tcPr>
                <w:p w:rsidR="00994E9C" w:rsidRPr="00156AC9" w:rsidRDefault="00994E9C" w:rsidP="00140B88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40B8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07" w:type="dxa"/>
                </w:tcPr>
                <w:p w:rsidR="00994E9C" w:rsidRPr="00156AC9" w:rsidRDefault="00994E9C" w:rsidP="00140B88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140B8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</w:t>
                  </w:r>
                  <w:r w:rsidR="00140B8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</w:t>
                  </w:r>
                  <w:r w:rsidR="00140B8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994E9C">
        <w:tc>
          <w:tcPr>
            <w:tcW w:w="2830" w:type="dxa"/>
          </w:tcPr>
          <w:p w:rsidR="003079D3" w:rsidRDefault="003079D3" w:rsidP="003079D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3079D3" w:rsidRDefault="003079D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 xml:space="preserve"> / IRR / 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  <w:p w:rsidR="00E135BB" w:rsidRPr="00E135BB" w:rsidRDefault="00E135BB" w:rsidP="00E135B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A97B4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2D44EB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F67A5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Ключевые лица</w:t>
            </w:r>
          </w:p>
        </w:tc>
        <w:tc>
          <w:tcPr>
            <w:tcW w:w="7797" w:type="dxa"/>
          </w:tcPr>
          <w:p w:rsidR="006D5D3F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F729DD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6D5D3F">
          <w:footerReference w:type="default" r:id="rId9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2A4EFD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2A4EFD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собственных средств,</w:t>
            </w: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кредитора, тыс. руб.</w:t>
            </w:r>
          </w:p>
        </w:tc>
      </w:tr>
      <w:tr w:rsidR="005363CE" w:rsidRPr="002A757D" w:rsidTr="002E5457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8C502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5C52B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63CE" w:rsidRPr="003E074A" w:rsidRDefault="005363CE" w:rsidP="005363CE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Группы лиц.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3589"/>
        <w:gridCol w:w="9394"/>
        <w:gridCol w:w="1276"/>
      </w:tblGrid>
      <w:tr w:rsidR="005363CE" w:rsidRPr="008E71D1" w:rsidTr="002E5457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lastRenderedPageBreak/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/>
      </w:tblPr>
      <w:tblGrid>
        <w:gridCol w:w="498"/>
        <w:gridCol w:w="5451"/>
        <w:gridCol w:w="1938"/>
        <w:gridCol w:w="1635"/>
        <w:gridCol w:w="5499"/>
      </w:tblGrid>
      <w:tr w:rsidR="00474B96" w:rsidTr="00595996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BDD6EE" w:themeFill="accent1" w:themeFillTint="66"/>
          </w:tcPr>
          <w:p w:rsidR="00474B96" w:rsidRPr="00C077F8" w:rsidRDefault="00474B96" w:rsidP="0059599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C8343F">
      <w:footerReference w:type="default" r:id="rId10"/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08" w:rsidRDefault="00767B08" w:rsidP="00F85B75">
      <w:pPr>
        <w:spacing w:after="0" w:line="240" w:lineRule="auto"/>
      </w:pPr>
      <w:r>
        <w:separator/>
      </w:r>
    </w:p>
  </w:endnote>
  <w:endnote w:type="continuationSeparator" w:id="0">
    <w:p w:rsidR="00767B08" w:rsidRDefault="00767B08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0772951"/>
      <w:docPartObj>
        <w:docPartGallery w:val="Page Numbers (Bottom of Page)"/>
        <w:docPartUnique/>
      </w:docPartObj>
    </w:sdtPr>
    <w:sdtContent>
      <w:p w:rsidR="00F85B75" w:rsidRDefault="003E79C6">
        <w:pPr>
          <w:pStyle w:val="a7"/>
          <w:jc w:val="center"/>
        </w:pPr>
        <w:r>
          <w:fldChar w:fldCharType="begin"/>
        </w:r>
        <w:r w:rsidR="00F85B75">
          <w:instrText>PAGE   \* MERGEFORMAT</w:instrText>
        </w:r>
        <w:r>
          <w:fldChar w:fldCharType="separate"/>
        </w:r>
        <w:r w:rsidR="00140B88">
          <w:rPr>
            <w:noProof/>
          </w:rPr>
          <w:t>3</w:t>
        </w:r>
        <w:r>
          <w:fldChar w:fldCharType="end"/>
        </w:r>
      </w:p>
    </w:sdtContent>
  </w:sdt>
  <w:p w:rsidR="00F85B75" w:rsidRDefault="00F85B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14" w:rsidRDefault="003E79C6">
    <w:pPr>
      <w:pStyle w:val="a7"/>
      <w:jc w:val="center"/>
    </w:pPr>
    <w:r>
      <w:fldChar w:fldCharType="begin"/>
    </w:r>
    <w:r w:rsidR="007475C3">
      <w:instrText>PAGE   \* MERGEFORMAT</w:instrText>
    </w:r>
    <w:r>
      <w:fldChar w:fldCharType="separate"/>
    </w:r>
    <w:r w:rsidR="00140B88">
      <w:rPr>
        <w:noProof/>
      </w:rPr>
      <w:t>6</w:t>
    </w:r>
    <w:r>
      <w:fldChar w:fldCharType="end"/>
    </w:r>
  </w:p>
  <w:p w:rsidR="00556B14" w:rsidRDefault="00140B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08" w:rsidRDefault="00767B08" w:rsidP="00F85B75">
      <w:pPr>
        <w:spacing w:after="0" w:line="240" w:lineRule="auto"/>
      </w:pPr>
      <w:r>
        <w:separator/>
      </w:r>
    </w:p>
  </w:footnote>
  <w:footnote w:type="continuationSeparator" w:id="0">
    <w:p w:rsidR="00767B08" w:rsidRDefault="00767B08" w:rsidP="00F85B75">
      <w:pPr>
        <w:spacing w:after="0" w:line="240" w:lineRule="auto"/>
      </w:pPr>
      <w:r>
        <w:continuationSeparator/>
      </w:r>
    </w:p>
  </w:footnote>
  <w:footnote w:id="1">
    <w:p w:rsidR="00D868BD" w:rsidRDefault="00D868BD">
      <w:pPr>
        <w:pStyle w:val="af1"/>
      </w:pPr>
      <w:r>
        <w:rPr>
          <w:rStyle w:val="af3"/>
        </w:rPr>
        <w:footnoteRef/>
      </w:r>
      <w:r w:rsidRPr="00E13067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C1E"/>
    <w:rsid w:val="00006E2C"/>
    <w:rsid w:val="00025D5A"/>
    <w:rsid w:val="00030EDE"/>
    <w:rsid w:val="00040929"/>
    <w:rsid w:val="000B32E9"/>
    <w:rsid w:val="000B52B3"/>
    <w:rsid w:val="000F627A"/>
    <w:rsid w:val="0010798E"/>
    <w:rsid w:val="001332E3"/>
    <w:rsid w:val="00134BE8"/>
    <w:rsid w:val="00140B88"/>
    <w:rsid w:val="0014668D"/>
    <w:rsid w:val="00156AC9"/>
    <w:rsid w:val="00184DC6"/>
    <w:rsid w:val="001D5C74"/>
    <w:rsid w:val="001F410D"/>
    <w:rsid w:val="00201DB3"/>
    <w:rsid w:val="002420DB"/>
    <w:rsid w:val="00254DD4"/>
    <w:rsid w:val="002568C1"/>
    <w:rsid w:val="002B5213"/>
    <w:rsid w:val="002D44EB"/>
    <w:rsid w:val="002D7B37"/>
    <w:rsid w:val="002D7D71"/>
    <w:rsid w:val="002E0EE2"/>
    <w:rsid w:val="002F24EE"/>
    <w:rsid w:val="003079D3"/>
    <w:rsid w:val="00363B4A"/>
    <w:rsid w:val="00373C0F"/>
    <w:rsid w:val="003823CB"/>
    <w:rsid w:val="003862B7"/>
    <w:rsid w:val="003936A0"/>
    <w:rsid w:val="003B11E0"/>
    <w:rsid w:val="003B349F"/>
    <w:rsid w:val="003E79C6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A2A28"/>
    <w:rsid w:val="004C44A8"/>
    <w:rsid w:val="004C7297"/>
    <w:rsid w:val="004F55BB"/>
    <w:rsid w:val="005153B7"/>
    <w:rsid w:val="00521708"/>
    <w:rsid w:val="005238B2"/>
    <w:rsid w:val="005363CE"/>
    <w:rsid w:val="005906F3"/>
    <w:rsid w:val="005B2968"/>
    <w:rsid w:val="005C2305"/>
    <w:rsid w:val="005D7687"/>
    <w:rsid w:val="005E7CDD"/>
    <w:rsid w:val="00640A0D"/>
    <w:rsid w:val="00643903"/>
    <w:rsid w:val="00643BF1"/>
    <w:rsid w:val="0065179C"/>
    <w:rsid w:val="006670AC"/>
    <w:rsid w:val="0068546C"/>
    <w:rsid w:val="006D5D3F"/>
    <w:rsid w:val="006E3FEC"/>
    <w:rsid w:val="006E6C66"/>
    <w:rsid w:val="00705CA7"/>
    <w:rsid w:val="007154A2"/>
    <w:rsid w:val="00726431"/>
    <w:rsid w:val="00737533"/>
    <w:rsid w:val="007475C3"/>
    <w:rsid w:val="00751AB8"/>
    <w:rsid w:val="00767B08"/>
    <w:rsid w:val="00784695"/>
    <w:rsid w:val="007E7C43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E2AB5"/>
    <w:rsid w:val="009F2032"/>
    <w:rsid w:val="00A3184B"/>
    <w:rsid w:val="00A512E5"/>
    <w:rsid w:val="00A53525"/>
    <w:rsid w:val="00A63905"/>
    <w:rsid w:val="00A64DBB"/>
    <w:rsid w:val="00A65237"/>
    <w:rsid w:val="00A80C00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649F5"/>
    <w:rsid w:val="00B70DF2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66A0E"/>
    <w:rsid w:val="00D868BD"/>
    <w:rsid w:val="00DC4018"/>
    <w:rsid w:val="00DF0A3D"/>
    <w:rsid w:val="00E13067"/>
    <w:rsid w:val="00E135BB"/>
    <w:rsid w:val="00E15A32"/>
    <w:rsid w:val="00E21A1B"/>
    <w:rsid w:val="00E54DD2"/>
    <w:rsid w:val="00E65894"/>
    <w:rsid w:val="00EC006B"/>
    <w:rsid w:val="00EC10A1"/>
    <w:rsid w:val="00EF5F06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2B59-6309-486D-9F8E-C11D1791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Вадим Викторович</dc:creator>
  <cp:keywords/>
  <dc:description/>
  <cp:lastModifiedBy>user</cp:lastModifiedBy>
  <cp:revision>7</cp:revision>
  <cp:lastPrinted>2016-10-14T14:20:00Z</cp:lastPrinted>
  <dcterms:created xsi:type="dcterms:W3CDTF">2016-10-14T16:37:00Z</dcterms:created>
  <dcterms:modified xsi:type="dcterms:W3CDTF">2019-01-15T05:43:00Z</dcterms:modified>
</cp:coreProperties>
</file>