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0B4E" w14:textId="77777777" w:rsidR="00E3722D" w:rsidRPr="00366D99" w:rsidRDefault="00E3722D" w:rsidP="00E3722D">
      <w:pPr>
        <w:pStyle w:val="10"/>
        <w:rPr>
          <w:rFonts w:eastAsia="Times New Roman"/>
        </w:rPr>
      </w:pPr>
      <w:r w:rsidRPr="00366D99">
        <w:rPr>
          <w:rFonts w:eastAsia="Times New Roman"/>
        </w:rPr>
        <w:t>Форма №8</w:t>
      </w:r>
    </w:p>
    <w:p w14:paraId="5AD28CC5" w14:textId="77777777" w:rsidR="00E3722D" w:rsidRDefault="00E3722D" w:rsidP="00E3722D"/>
    <w:p w14:paraId="5A6F4ED0" w14:textId="77777777" w:rsidR="00E3722D" w:rsidRPr="00366D99" w:rsidRDefault="00E3722D" w:rsidP="00E3722D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7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7B2F54F4" w14:textId="77777777" w:rsidR="00E3722D" w:rsidRPr="00281C72" w:rsidRDefault="00E3722D" w:rsidP="00E3722D">
      <w:pPr>
        <w:widowControl w:val="0"/>
        <w:tabs>
          <w:tab w:val="left" w:pos="6955"/>
          <w:tab w:val="left" w:leader="underscore" w:pos="7430"/>
        </w:tabs>
        <w:spacing w:after="260" w:line="264" w:lineRule="auto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город Магадан</w:t>
      </w:r>
      <w:r w:rsidRPr="00281C72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proofErr w:type="gramStart"/>
      <w:r w:rsidRPr="00281C72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Pr="00281C72">
        <w:rPr>
          <w:rFonts w:ascii="Times New Roman" w:eastAsia="Times New Roman" w:hAnsi="Times New Roman" w:cs="Times New Roman"/>
          <w:color w:val="000000"/>
        </w:rPr>
        <w:t>15»  апреля 2022 г.</w:t>
      </w:r>
    </w:p>
    <w:p w14:paraId="61DB1B36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281C72">
        <w:rPr>
          <w:rFonts w:ascii="Times New Roman" w:eastAsia="Times New Roman" w:hAnsi="Times New Roman" w:cs="Times New Roman"/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форму, физическим лицам, планирующим заниматься предпринимательской деятельностью заключить договор-оферту на оказание услуг, на указанных ниже условиях (далее – Договор).</w:t>
      </w:r>
    </w:p>
    <w:p w14:paraId="2DAFC926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4BC48B2C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4E1C050E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23FABD69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65411805" w14:textId="77777777" w:rsidR="00E3722D" w:rsidRPr="00281C72" w:rsidRDefault="00E3722D" w:rsidP="00E3722D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0D435E79" w14:textId="77777777" w:rsidR="00E3722D" w:rsidRPr="00281C72" w:rsidRDefault="00E3722D" w:rsidP="00E3722D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и принятого решения Правлением Фонда о соответствии такого Заявителя условиям получения поддержки и признании его Получателем поддержки;</w:t>
      </w:r>
    </w:p>
    <w:p w14:paraId="6C8BF596" w14:textId="77777777" w:rsidR="00E3722D" w:rsidRPr="00281C72" w:rsidRDefault="00E3722D" w:rsidP="00E3722D">
      <w:pPr>
        <w:widowControl w:val="0"/>
        <w:numPr>
          <w:ilvl w:val="0"/>
          <w:numId w:val="2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Правлением Фонда о соответствии такого Заявителя условиям получения поддержки и признании его Получателем поддержки.</w:t>
      </w:r>
    </w:p>
    <w:p w14:paraId="50596D15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11BAA68F" w14:textId="77777777" w:rsidR="00E3722D" w:rsidRPr="00281C72" w:rsidRDefault="00E3722D" w:rsidP="00E3722D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40946CF4" w14:textId="77777777" w:rsidR="00E3722D" w:rsidRDefault="00E3722D" w:rsidP="00E3722D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19249E8A" w14:textId="77777777" w:rsidR="00E3722D" w:rsidRPr="00281C72" w:rsidRDefault="00E3722D" w:rsidP="00E3722D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CE2DC11" w14:textId="77777777" w:rsidR="00E3722D" w:rsidRPr="00281C72" w:rsidRDefault="00E3722D" w:rsidP="00E3722D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ПРЕДМЕТ ДОГОВОРА</w:t>
      </w:r>
    </w:p>
    <w:p w14:paraId="16213A0A" w14:textId="77777777" w:rsidR="00E3722D" w:rsidRPr="00281C72" w:rsidRDefault="00E3722D" w:rsidP="00E3722D">
      <w:pPr>
        <w:widowControl w:val="0"/>
        <w:numPr>
          <w:ilvl w:val="1"/>
          <w:numId w:val="3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обязуется на основании и в соответствии с подписанным и представленным Получателем поддержки Заявлением об акцепте Договора-оферты, оказать информационно-консультационные услуги, а Получатель поддержки обязуется принять услуги в соответствии с условиями настоящего Договора.</w:t>
      </w:r>
    </w:p>
    <w:p w14:paraId="13BC5E83" w14:textId="77777777" w:rsidR="00E3722D" w:rsidRPr="00281C72" w:rsidRDefault="00E3722D" w:rsidP="00E3722D">
      <w:pPr>
        <w:widowControl w:val="0"/>
        <w:numPr>
          <w:ilvl w:val="1"/>
          <w:numId w:val="3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lastRenderedPageBreak/>
        <w:t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Правления Фонда (за исключением случаев, когда принятие решения Правления Фонда не требуется).</w:t>
      </w:r>
    </w:p>
    <w:p w14:paraId="3C828901" w14:textId="77777777" w:rsidR="00E3722D" w:rsidRPr="00281C72" w:rsidRDefault="00E3722D" w:rsidP="00E3722D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76CEB4CA" w14:textId="77777777" w:rsidR="00E3722D" w:rsidRPr="00281C72" w:rsidRDefault="00E3722D" w:rsidP="00E3722D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ПОРЯДОК ОКАЗАНИЯ УСЛУГИ</w:t>
      </w:r>
    </w:p>
    <w:p w14:paraId="72FAA9E2" w14:textId="77777777" w:rsidR="00E3722D" w:rsidRPr="00281C72" w:rsidRDefault="00E3722D" w:rsidP="00E3722D">
      <w:pPr>
        <w:pStyle w:val="a3"/>
        <w:widowControl w:val="0"/>
        <w:numPr>
          <w:ilvl w:val="1"/>
          <w:numId w:val="1"/>
        </w:numPr>
        <w:tabs>
          <w:tab w:val="left" w:pos="1033"/>
        </w:tabs>
        <w:spacing w:line="264" w:lineRule="auto"/>
        <w:ind w:left="0" w:firstLine="567"/>
        <w:jc w:val="both"/>
        <w:rPr>
          <w:sz w:val="22"/>
          <w:szCs w:val="22"/>
        </w:rPr>
      </w:pPr>
      <w:r w:rsidRPr="00281C72">
        <w:rPr>
          <w:color w:val="000000"/>
          <w:sz w:val="22"/>
          <w:szCs w:val="22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155430B9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Техническим заданием, приложенным к Заявлению Получателя поддержки.</w:t>
      </w:r>
    </w:p>
    <w:p w14:paraId="59DDF927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По окончанию срока оказания услуг Получатель поддержки обязуется предоставить подписанный со своей стороны Акт выполненных работ, в течении 10 рабочих дней с даты окончания оказания услуг.</w:t>
      </w:r>
    </w:p>
    <w:p w14:paraId="33AC461A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  <w:color w:val="000000"/>
        </w:rPr>
        <w:t>В случае если в указанный срок Получатель поддержки не направил подписанный Акт выполненных работ или мотивированный отказ от его подписания, услуги считаются оказанными надлежащим образом и принятыми Получателем поддержки в полном объеме</w:t>
      </w:r>
      <w:r w:rsidRPr="00281C72">
        <w:rPr>
          <w:rFonts w:ascii="Times New Roman" w:hAnsi="Times New Roman" w:cs="Times New Roman"/>
        </w:rPr>
        <w:t>.</w:t>
      </w:r>
    </w:p>
    <w:p w14:paraId="730A33BA" w14:textId="77777777" w:rsidR="00E3722D" w:rsidRPr="00281C72" w:rsidRDefault="00E3722D" w:rsidP="00E3722D">
      <w:pPr>
        <w:widowControl w:val="0"/>
        <w:tabs>
          <w:tab w:val="left" w:pos="1057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96F5011" w14:textId="77777777" w:rsidR="00E3722D" w:rsidRPr="00281C72" w:rsidRDefault="00E3722D" w:rsidP="00E3722D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bCs/>
          <w:color w:val="000000"/>
          <w:szCs w:val="22"/>
        </w:rPr>
        <w:t>ОБЯЗАННОСТИ СТОРОН</w:t>
      </w:r>
    </w:p>
    <w:p w14:paraId="6E5F92C9" w14:textId="77777777" w:rsidR="00E3722D" w:rsidRPr="00281C72" w:rsidRDefault="00E3722D" w:rsidP="00E3722D">
      <w:pPr>
        <w:pStyle w:val="1"/>
        <w:numPr>
          <w:ilvl w:val="1"/>
          <w:numId w:val="1"/>
        </w:numPr>
        <w:spacing w:line="264" w:lineRule="auto"/>
        <w:ind w:left="0" w:firstLine="993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обязуется:</w:t>
      </w:r>
    </w:p>
    <w:p w14:paraId="638F1776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0384002F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7A07B747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150F2571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011C2344" w14:textId="77777777" w:rsidR="00E3722D" w:rsidRPr="00281C72" w:rsidRDefault="00E3722D" w:rsidP="00E3722D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вправе:</w:t>
      </w:r>
    </w:p>
    <w:p w14:paraId="2F81988F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84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19C669EA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 Исполнитель вправе прибегнуть к содействию охранной организации для защиты и реализации своих прав.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 Реализовывать иные права, предусмотренные настоящим Договором.</w:t>
      </w:r>
    </w:p>
    <w:p w14:paraId="6BD9EB51" w14:textId="77777777" w:rsidR="00E3722D" w:rsidRPr="00281C72" w:rsidRDefault="00E3722D" w:rsidP="00E3722D">
      <w:pPr>
        <w:widowControl w:val="0"/>
        <w:numPr>
          <w:ilvl w:val="2"/>
          <w:numId w:val="1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Hlk100847660"/>
      <w:r w:rsidRPr="00281C72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  <w:bookmarkEnd w:id="0"/>
    </w:p>
    <w:p w14:paraId="2225788D" w14:textId="77777777" w:rsidR="00E3722D" w:rsidRPr="00281C72" w:rsidRDefault="00E3722D" w:rsidP="00E3722D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обязуется:</w:t>
      </w:r>
      <w:r w:rsidRPr="00281C72">
        <w:rPr>
          <w:rFonts w:cs="Times New Roman"/>
          <w:spacing w:val="-6"/>
          <w:szCs w:val="22"/>
        </w:rPr>
        <w:t xml:space="preserve"> </w:t>
      </w:r>
    </w:p>
    <w:p w14:paraId="128E8DAC" w14:textId="77777777" w:rsidR="00E3722D" w:rsidRPr="00281C72" w:rsidRDefault="00E3722D" w:rsidP="00E3722D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281C72">
        <w:rPr>
          <w:sz w:val="22"/>
          <w:szCs w:val="22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01DDA7CD" w14:textId="77777777" w:rsidR="00E3722D" w:rsidRPr="00A86DEA" w:rsidRDefault="00E3722D" w:rsidP="00E3722D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Принять оказанные услуги в соответствии с условиями настоящего Договора.</w:t>
      </w:r>
    </w:p>
    <w:p w14:paraId="2F7B0C4F" w14:textId="77777777" w:rsidR="00E3722D" w:rsidRPr="00A86DEA" w:rsidRDefault="00E3722D" w:rsidP="00E3722D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A86DEA">
        <w:rPr>
          <w:sz w:val="22"/>
          <w:szCs w:val="22"/>
        </w:rPr>
        <w:t>Принимать в течение 2022-2024 годах участие в проводимых Фондом опросах (</w:t>
      </w:r>
      <w:proofErr w:type="spellStart"/>
      <w:r w:rsidRPr="00A86DEA">
        <w:rPr>
          <w:sz w:val="22"/>
          <w:szCs w:val="22"/>
        </w:rPr>
        <w:t>анкетированиях</w:t>
      </w:r>
      <w:proofErr w:type="spellEnd"/>
      <w:r w:rsidRPr="00A86DEA">
        <w:rPr>
          <w:sz w:val="22"/>
          <w:szCs w:val="22"/>
        </w:rPr>
        <w:t xml:space="preserve">) и предоставлять все запрашиваемые Фондом сведения, включая </w:t>
      </w:r>
      <w:r w:rsidRPr="00281C72">
        <w:rPr>
          <w:sz w:val="22"/>
          <w:szCs w:val="22"/>
        </w:rPr>
        <w:t xml:space="preserve">изменения показателей </w:t>
      </w:r>
      <w:r w:rsidRPr="00281C72">
        <w:rPr>
          <w:sz w:val="22"/>
          <w:szCs w:val="22"/>
        </w:rPr>
        <w:lastRenderedPageBreak/>
        <w:t xml:space="preserve">деятельности </w:t>
      </w:r>
      <w:r w:rsidRPr="00A86DEA">
        <w:rPr>
          <w:sz w:val="22"/>
          <w:szCs w:val="22"/>
        </w:rPr>
        <w:t>Получателя поддержки</w:t>
      </w:r>
      <w:r w:rsidRPr="00281C72">
        <w:rPr>
          <w:sz w:val="22"/>
          <w:szCs w:val="22"/>
        </w:rPr>
        <w:t xml:space="preserve"> (увеличение клиентов, прибыли и т.д.)</w:t>
      </w:r>
      <w:r w:rsidRPr="00A86DEA">
        <w:rPr>
          <w:sz w:val="22"/>
          <w:szCs w:val="22"/>
        </w:rPr>
        <w:t xml:space="preserve"> в сроки, указанные в запросе о предоставлении сведений.</w:t>
      </w:r>
    </w:p>
    <w:p w14:paraId="1E940C51" w14:textId="77777777" w:rsidR="00E3722D" w:rsidRPr="00A86DEA" w:rsidRDefault="00E3722D" w:rsidP="00E3722D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A86DEA">
        <w:rPr>
          <w:sz w:val="22"/>
          <w:szCs w:val="22"/>
        </w:rPr>
        <w:t xml:space="preserve">Обязуется заполнить анкету о результатах полученной поддержки, с обязательным указанием </w:t>
      </w:r>
      <w:r w:rsidRPr="00281C72">
        <w:rPr>
          <w:sz w:val="22"/>
          <w:szCs w:val="22"/>
        </w:rPr>
        <w:t>полученного результата оказания поддержки.</w:t>
      </w:r>
      <w:r w:rsidRPr="00A86DEA">
        <w:rPr>
          <w:sz w:val="22"/>
          <w:szCs w:val="22"/>
        </w:rPr>
        <w:t xml:space="preserve"> </w:t>
      </w:r>
    </w:p>
    <w:p w14:paraId="30A95332" w14:textId="77777777" w:rsidR="00E3722D" w:rsidRPr="00281C72" w:rsidRDefault="00E3722D" w:rsidP="00E3722D">
      <w:pPr>
        <w:pStyle w:val="4"/>
        <w:numPr>
          <w:ilvl w:val="2"/>
          <w:numId w:val="1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A86DEA">
        <w:rPr>
          <w:sz w:val="22"/>
          <w:szCs w:val="22"/>
        </w:rPr>
        <w:t>По требованию</w:t>
      </w:r>
      <w:r w:rsidRPr="00281C72">
        <w:rPr>
          <w:color w:val="000000"/>
          <w:sz w:val="22"/>
          <w:szCs w:val="22"/>
        </w:rPr>
        <w:t xml:space="preserve"> Фонда в течение трех лет предоставлять сведения о динамике своих показателей:</w:t>
      </w:r>
    </w:p>
    <w:p w14:paraId="6AE981D9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1B275620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4F1FB981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0F1C6654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4F8E5D89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23A73361" w14:textId="77777777" w:rsidR="00E3722D" w:rsidRPr="00281C72" w:rsidRDefault="00E3722D" w:rsidP="00E3722D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606AC536" w14:textId="77777777" w:rsidR="00E3722D" w:rsidRPr="00281C72" w:rsidRDefault="00E3722D" w:rsidP="00E3722D">
      <w:pPr>
        <w:pStyle w:val="4"/>
        <w:numPr>
          <w:ilvl w:val="2"/>
          <w:numId w:val="1"/>
        </w:numPr>
        <w:tabs>
          <w:tab w:val="left" w:pos="1276"/>
          <w:tab w:val="left" w:pos="1418"/>
        </w:tabs>
        <w:spacing w:after="0" w:line="264" w:lineRule="auto"/>
        <w:ind w:left="0" w:firstLine="567"/>
        <w:rPr>
          <w:sz w:val="22"/>
          <w:szCs w:val="22"/>
        </w:rPr>
      </w:pPr>
      <w:bookmarkStart w:id="1" w:name="_Hlk100847686"/>
      <w:r w:rsidRPr="00281C72">
        <w:rPr>
          <w:color w:val="000000"/>
          <w:sz w:val="22"/>
          <w:szCs w:val="22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  <w:bookmarkEnd w:id="1"/>
    </w:p>
    <w:p w14:paraId="7B1C9290" w14:textId="77777777" w:rsidR="00E3722D" w:rsidRPr="00281C72" w:rsidRDefault="00E3722D" w:rsidP="00E3722D">
      <w:pPr>
        <w:pStyle w:val="1"/>
        <w:numPr>
          <w:ilvl w:val="1"/>
          <w:numId w:val="1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вправе:</w:t>
      </w:r>
    </w:p>
    <w:p w14:paraId="122F9860" w14:textId="77777777" w:rsidR="00E3722D" w:rsidRPr="00281C72" w:rsidRDefault="00E3722D" w:rsidP="00E3722D">
      <w:pPr>
        <w:pStyle w:val="4"/>
        <w:numPr>
          <w:ilvl w:val="2"/>
          <w:numId w:val="1"/>
        </w:numPr>
        <w:spacing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Получатель поддержки</w:t>
      </w:r>
      <w:r w:rsidRPr="00281C72">
        <w:rPr>
          <w:color w:val="202124"/>
          <w:sz w:val="22"/>
          <w:szCs w:val="22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46F54A4E" w14:textId="77777777" w:rsidR="00E3722D" w:rsidRPr="00281C72" w:rsidRDefault="00E3722D" w:rsidP="00E3722D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СТОИМОСТЬ УСЛУГ И ПОРЯДОК РАСЧЕТОВ</w:t>
      </w:r>
    </w:p>
    <w:p w14:paraId="4B306B5A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Услуги предоставляются Получателю поддержки на безвозмездной основе.</w:t>
      </w:r>
    </w:p>
    <w:p w14:paraId="1B932D72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Размер предоставленной поддержки Получателю поддержки определяется на основании Технического задания (при наличии) и решения Правления Фонда.</w:t>
      </w:r>
    </w:p>
    <w:p w14:paraId="78432868" w14:textId="77777777" w:rsidR="00E3722D" w:rsidRDefault="00E3722D" w:rsidP="00E3722D">
      <w:pPr>
        <w:widowControl w:val="0"/>
        <w:numPr>
          <w:ilvl w:val="1"/>
          <w:numId w:val="1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В случае одностороннего отказа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Получателя поддержки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Получатель поддержки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возмещает Исполнителю фактически понесенные расходы.</w:t>
      </w:r>
    </w:p>
    <w:p w14:paraId="43720E40" w14:textId="77777777" w:rsidR="00E3722D" w:rsidRPr="00087845" w:rsidRDefault="00E3722D" w:rsidP="00E3722D">
      <w:pPr>
        <w:widowControl w:val="0"/>
        <w:tabs>
          <w:tab w:val="left" w:pos="1213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9997975" w14:textId="77777777" w:rsidR="00E3722D" w:rsidRPr="00281C72" w:rsidRDefault="00E3722D" w:rsidP="00E3722D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СРОК ОКАЗАНИЯ УСЛУГ</w:t>
      </w:r>
    </w:p>
    <w:p w14:paraId="5FD52690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</w:p>
    <w:p w14:paraId="0F3550D6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0B6AD226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1C0CBC52" w14:textId="77777777" w:rsidR="00E3722D" w:rsidRPr="00281C72" w:rsidRDefault="00E3722D" w:rsidP="00E3722D">
      <w:pPr>
        <w:widowControl w:val="0"/>
        <w:tabs>
          <w:tab w:val="left" w:pos="1062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2FA15854" w14:textId="77777777" w:rsidR="00E3722D" w:rsidRPr="00281C72" w:rsidRDefault="00E3722D" w:rsidP="00E3722D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ОТВЕТСТВЕННОСТЬ СТОРОН</w:t>
      </w:r>
    </w:p>
    <w:p w14:paraId="5BC64D61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61936B49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работ.</w:t>
      </w:r>
    </w:p>
    <w:p w14:paraId="6F87C2AF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46449462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4FFD4127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 xml:space="preserve"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</w:t>
      </w:r>
      <w:r w:rsidRPr="00281C72">
        <w:rPr>
          <w:rFonts w:ascii="Times New Roman" w:hAnsi="Times New Roman" w:cs="Times New Roman"/>
        </w:rPr>
        <w:lastRenderedPageBreak/>
        <w:t>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41B94EEF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7D15F186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4DDFA58E" w14:textId="77777777" w:rsidR="00E3722D" w:rsidRPr="00281C72" w:rsidRDefault="00E3722D" w:rsidP="00E3722D">
      <w:pPr>
        <w:widowControl w:val="0"/>
        <w:tabs>
          <w:tab w:val="left" w:pos="105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7DF0670" w14:textId="77777777" w:rsidR="00E3722D" w:rsidRPr="00281C72" w:rsidRDefault="00E3722D" w:rsidP="00E3722D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УСЛОВИЯ РАСТОРЖЕНИЯ ДОГОВОРА</w:t>
      </w:r>
    </w:p>
    <w:p w14:paraId="6206C5F6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0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письменному соглашению сторон.</w:t>
      </w:r>
    </w:p>
    <w:p w14:paraId="38E54EF3" w14:textId="77777777" w:rsidR="00E3722D" w:rsidRPr="00087845" w:rsidRDefault="00E3722D" w:rsidP="00E3722D">
      <w:pPr>
        <w:widowControl w:val="0"/>
        <w:numPr>
          <w:ilvl w:val="1"/>
          <w:numId w:val="1"/>
        </w:numPr>
        <w:tabs>
          <w:tab w:val="left" w:pos="104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50129F49" w14:textId="77777777" w:rsidR="00E3722D" w:rsidRPr="00087845" w:rsidRDefault="00E3722D" w:rsidP="00E3722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- не предоставляет в срок </w:t>
      </w:r>
      <w:r w:rsidRPr="00087845">
        <w:rPr>
          <w:rFonts w:ascii="Times New Roman" w:eastAsia="Times New Roman" w:hAnsi="Times New Roman" w:cs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757599A5" w14:textId="77777777" w:rsidR="00E3722D" w:rsidRPr="00087845" w:rsidRDefault="00E3722D" w:rsidP="00E3722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3B943EE3" w14:textId="77777777" w:rsidR="00E3722D" w:rsidRDefault="00E3722D" w:rsidP="00E3722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7.3. 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</w:p>
    <w:p w14:paraId="413D4C54" w14:textId="77777777" w:rsidR="00E3722D" w:rsidRPr="00087845" w:rsidRDefault="00E3722D" w:rsidP="00E3722D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7A5FF64" w14:textId="77777777" w:rsidR="00E3722D" w:rsidRPr="00281C72" w:rsidRDefault="00E3722D" w:rsidP="00E3722D">
      <w:pPr>
        <w:pStyle w:val="1"/>
        <w:tabs>
          <w:tab w:val="left" w:pos="1134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ПОРЯДОК РАЗРЕШЕНИЯ СПОРОВ</w:t>
      </w:r>
    </w:p>
    <w:p w14:paraId="6643871A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47A2E03D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22"/>
        </w:tabs>
        <w:spacing w:after="26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4E815E4C" w14:textId="77777777" w:rsidR="00E3722D" w:rsidRPr="00281C72" w:rsidRDefault="00E3722D" w:rsidP="00E3722D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ЗАКЛЮЧИТЕЛЬНЫЕ ПОЛОЖЕНИЯ</w:t>
      </w:r>
    </w:p>
    <w:p w14:paraId="540B7727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Дополнительные услуги не входят в договор и оплачиваются отдельно.</w:t>
      </w:r>
    </w:p>
    <w:p w14:paraId="56E7026F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Получателем поддержки и Исполнителем 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77555268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1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14:paraId="1F476A2D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11C106B5" w14:textId="77777777" w:rsidR="00E3722D" w:rsidRPr="00281C72" w:rsidRDefault="00E3722D" w:rsidP="00E3722D">
      <w:pPr>
        <w:widowControl w:val="0"/>
        <w:numPr>
          <w:ilvl w:val="1"/>
          <w:numId w:val="1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К Договору прилагаются и являются его неотъемлемой частью следующие</w:t>
      </w:r>
      <w:r w:rsidRPr="00281C72">
        <w:rPr>
          <w:rFonts w:ascii="Times New Roman" w:eastAsia="Times New Roman" w:hAnsi="Times New Roman" w:cs="Times New Roman"/>
        </w:rPr>
        <w:t xml:space="preserve"> п</w:t>
      </w:r>
      <w:r w:rsidRPr="00281C72">
        <w:rPr>
          <w:rFonts w:ascii="Times New Roman" w:eastAsia="Times New Roman" w:hAnsi="Times New Roman" w:cs="Times New Roman"/>
          <w:color w:val="000000"/>
        </w:rPr>
        <w:t>риложения:</w:t>
      </w:r>
    </w:p>
    <w:p w14:paraId="352B16BC" w14:textId="77777777" w:rsidR="00E3722D" w:rsidRPr="00281C72" w:rsidRDefault="00E3722D" w:rsidP="00E3722D">
      <w:pPr>
        <w:widowControl w:val="0"/>
        <w:tabs>
          <w:tab w:val="left" w:pos="1141"/>
        </w:tabs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1 – Заявление об акцепте оферты на заключение договора;</w:t>
      </w:r>
    </w:p>
    <w:p w14:paraId="511400FD" w14:textId="77777777" w:rsidR="00E3722D" w:rsidRPr="00281C72" w:rsidRDefault="00E3722D" w:rsidP="00E3722D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2 – Техническое задание;</w:t>
      </w:r>
    </w:p>
    <w:p w14:paraId="0776C9D2" w14:textId="77777777" w:rsidR="00E3722D" w:rsidRPr="00281C72" w:rsidRDefault="00E3722D" w:rsidP="00E3722D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lastRenderedPageBreak/>
        <w:t>Приложение № 3 – Решение Правления Фонда (за исключением случаев, когда решение Правления Фонда не требуется).</w:t>
      </w:r>
    </w:p>
    <w:p w14:paraId="732943F2" w14:textId="77777777" w:rsidR="00E3722D" w:rsidRPr="00281C72" w:rsidRDefault="00E3722D" w:rsidP="00E3722D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</w:p>
    <w:p w14:paraId="11207FC5" w14:textId="77777777" w:rsidR="00E3722D" w:rsidRPr="00281C72" w:rsidRDefault="00E3722D" w:rsidP="00E3722D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АДРЕСА И ПЛАТЕЖНЫЕ РЕКВИЗИТЫ ИСПОЛНИТЕЛЯ</w:t>
      </w:r>
    </w:p>
    <w:p w14:paraId="26D26EED" w14:textId="77777777" w:rsidR="00E3722D" w:rsidRPr="00281C72" w:rsidRDefault="00E3722D" w:rsidP="00E3722D">
      <w:pPr>
        <w:spacing w:line="264" w:lineRule="auto"/>
        <w:rPr>
          <w:rFonts w:ascii="Times New Roman" w:hAnsi="Times New Roman" w:cs="Times New Roman"/>
          <w:b/>
          <w:bCs/>
        </w:rPr>
      </w:pPr>
      <w:r w:rsidRPr="00281C72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71F64313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Юридический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0F782CF6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Почтовый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106192FE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ИНН/КПП 4909103145 / 490901001</w:t>
      </w:r>
    </w:p>
    <w:p w14:paraId="0A50C18A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ОГРН 1094900000414</w:t>
      </w:r>
    </w:p>
    <w:p w14:paraId="571D8580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Р/</w:t>
      </w:r>
      <w:proofErr w:type="spellStart"/>
      <w:r w:rsidRPr="00281C72">
        <w:rPr>
          <w:sz w:val="22"/>
          <w:szCs w:val="22"/>
        </w:rPr>
        <w:t>сч</w:t>
      </w:r>
      <w:proofErr w:type="spellEnd"/>
      <w:r w:rsidRPr="00281C72">
        <w:rPr>
          <w:sz w:val="22"/>
          <w:szCs w:val="22"/>
        </w:rPr>
        <w:t>. № 40701810075110000004 в</w:t>
      </w:r>
    </w:p>
    <w:p w14:paraId="22976C73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в Хабаровском РФ АО «Россельхозбанк», г. Хабаровск </w:t>
      </w:r>
    </w:p>
    <w:p w14:paraId="26282F4D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proofErr w:type="gramStart"/>
      <w:r w:rsidRPr="00281C72">
        <w:rPr>
          <w:sz w:val="22"/>
          <w:szCs w:val="22"/>
        </w:rPr>
        <w:t>Кор/счет</w:t>
      </w:r>
      <w:proofErr w:type="gramEnd"/>
      <w:r w:rsidRPr="00281C72">
        <w:rPr>
          <w:sz w:val="22"/>
          <w:szCs w:val="22"/>
        </w:rPr>
        <w:t xml:space="preserve"> 30101810300000000733</w:t>
      </w:r>
    </w:p>
    <w:p w14:paraId="6EAB674D" w14:textId="77777777" w:rsidR="00E3722D" w:rsidRPr="00281C72" w:rsidRDefault="00E3722D" w:rsidP="00E3722D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БИК 040813733</w:t>
      </w:r>
    </w:p>
    <w:p w14:paraId="7A50F527" w14:textId="7535D472" w:rsidR="00B14FE9" w:rsidRPr="00E3722D" w:rsidRDefault="00B14FE9" w:rsidP="00E3722D"/>
    <w:sectPr w:rsidR="00B14FE9" w:rsidRPr="00E3722D" w:rsidSect="00B14FE9">
      <w:headerReference w:type="default" r:id="rId8"/>
      <w:pgSz w:w="11906" w:h="16838"/>
      <w:pgMar w:top="1135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4D02" w14:textId="77777777" w:rsidR="00B14FE9" w:rsidRDefault="00B14FE9" w:rsidP="00B14FE9">
      <w:pPr>
        <w:spacing w:after="0" w:line="240" w:lineRule="auto"/>
      </w:pPr>
      <w:r>
        <w:separator/>
      </w:r>
    </w:p>
  </w:endnote>
  <w:endnote w:type="continuationSeparator" w:id="0">
    <w:p w14:paraId="4B67C02E" w14:textId="77777777" w:rsidR="00B14FE9" w:rsidRDefault="00B14FE9" w:rsidP="00B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4666" w14:textId="77777777" w:rsidR="00B14FE9" w:rsidRDefault="00B14FE9" w:rsidP="00B14FE9">
      <w:pPr>
        <w:spacing w:after="0" w:line="240" w:lineRule="auto"/>
      </w:pPr>
      <w:r>
        <w:separator/>
      </w:r>
    </w:p>
  </w:footnote>
  <w:footnote w:type="continuationSeparator" w:id="0">
    <w:p w14:paraId="5897CD4A" w14:textId="77777777" w:rsidR="00B14FE9" w:rsidRDefault="00B14FE9" w:rsidP="00B1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6238"/>
      <w:docPartObj>
        <w:docPartGallery w:val="Page Numbers (Top of Page)"/>
        <w:docPartUnique/>
      </w:docPartObj>
    </w:sdtPr>
    <w:sdtEndPr/>
    <w:sdtContent>
      <w:p w14:paraId="198AA902" w14:textId="09C5AA83" w:rsidR="00B14FE9" w:rsidRDefault="00B14F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247F6" w14:textId="77777777" w:rsidR="00B14FE9" w:rsidRDefault="00B14F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2146596">
    <w:abstractNumId w:val="0"/>
  </w:num>
  <w:num w:numId="2" w16cid:durableId="1286932907">
    <w:abstractNumId w:val="1"/>
  </w:num>
  <w:num w:numId="3" w16cid:durableId="18948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C"/>
    <w:rsid w:val="00B14FE9"/>
    <w:rsid w:val="00CE779C"/>
    <w:rsid w:val="00E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53E2-CD2E-4A0E-A3B3-859EA8F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D"/>
  </w:style>
  <w:style w:type="paragraph" w:styleId="10">
    <w:name w:val="heading 1"/>
    <w:basedOn w:val="a"/>
    <w:next w:val="a"/>
    <w:link w:val="11"/>
    <w:uiPriority w:val="9"/>
    <w:qFormat/>
    <w:rsid w:val="00B14FE9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14FE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14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B14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qFormat/>
    <w:rsid w:val="00B14FE9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Cs w:val="28"/>
      <w:lang w:eastAsia="ru-RU"/>
    </w:rPr>
  </w:style>
  <w:style w:type="paragraph" w:customStyle="1" w:styleId="4">
    <w:name w:val="Стиль4"/>
    <w:basedOn w:val="a"/>
    <w:next w:val="2"/>
    <w:link w:val="40"/>
    <w:qFormat/>
    <w:rsid w:val="00B14FE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Стиль4 Знак"/>
    <w:basedOn w:val="a0"/>
    <w:link w:val="4"/>
    <w:rsid w:val="00B14F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4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1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FE9"/>
  </w:style>
  <w:style w:type="paragraph" w:styleId="a7">
    <w:name w:val="footer"/>
    <w:basedOn w:val="a"/>
    <w:link w:val="a8"/>
    <w:uiPriority w:val="99"/>
    <w:unhideWhenUsed/>
    <w:rsid w:val="00B1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F2A6FE00C591DBEEABDA84F6E5B3E3474D7BAAB64670AE659BA81CDB4C1F60FCF71E867E8CFE0041F962F02e5q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2022-05-20T01:46:00Z</dcterms:created>
  <dcterms:modified xsi:type="dcterms:W3CDTF">2022-06-06T00:58:00Z</dcterms:modified>
</cp:coreProperties>
</file>