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E3" w:rsidRPr="00FE195E" w:rsidRDefault="00AB43E3" w:rsidP="00AB43E3">
      <w:pPr>
        <w:spacing w:after="215" w:line="240" w:lineRule="auto"/>
        <w:outlineLvl w:val="1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FE195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Пошаговый алгоритм решения земельного спора, если вы истец</w:t>
      </w:r>
    </w:p>
    <w:p w:rsidR="00AB43E3" w:rsidRPr="00717033" w:rsidRDefault="00AB43E3" w:rsidP="00AB43E3">
      <w:pPr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 xml:space="preserve">Истец должен начать действовать еще до того, как он подаст заявление в суд. В первую очередь ему необходимо проконсультироваться с юристом. </w:t>
      </w:r>
      <w:r w:rsidR="00112119"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З</w:t>
      </w:r>
      <w:r w:rsidRPr="00717033">
        <w:rPr>
          <w:rFonts w:ascii="Times New Roman" w:eastAsia="Times New Roman" w:hAnsi="Times New Roman" w:cs="Times New Roman"/>
          <w:b/>
          <w:bCs/>
          <w:color w:val="2B2B2B"/>
          <w:sz w:val="17"/>
          <w:lang w:eastAsia="ru-RU"/>
        </w:rPr>
        <w:t>емельный юрист</w:t>
      </w: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:</w:t>
      </w:r>
    </w:p>
    <w:p w:rsidR="00AB43E3" w:rsidRPr="00717033" w:rsidRDefault="00AB43E3" w:rsidP="00AB43E3">
      <w:pPr>
        <w:numPr>
          <w:ilvl w:val="0"/>
          <w:numId w:val="1"/>
        </w:numPr>
        <w:spacing w:before="100" w:beforeAutospacing="1" w:after="100" w:afterAutospacing="1" w:line="269" w:lineRule="atLeast"/>
        <w:ind w:left="-322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даст оценку сложившейся ситуации с правовой точки зрения и расскажет о перспективах спора;</w:t>
      </w:r>
    </w:p>
    <w:p w:rsidR="00AB43E3" w:rsidRPr="00717033" w:rsidRDefault="00AB43E3" w:rsidP="00AB43E3">
      <w:pPr>
        <w:numPr>
          <w:ilvl w:val="0"/>
          <w:numId w:val="1"/>
        </w:numPr>
        <w:spacing w:before="100" w:beforeAutospacing="1" w:after="100" w:afterAutospacing="1" w:line="269" w:lineRule="atLeast"/>
        <w:ind w:left="-322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изучит имеющиеся у заявителя документы на предмет их соответствия нормам закона и наличия доказательственной силы;</w:t>
      </w:r>
    </w:p>
    <w:p w:rsidR="00AB43E3" w:rsidRPr="00717033" w:rsidRDefault="00AB43E3" w:rsidP="00AB43E3">
      <w:pPr>
        <w:numPr>
          <w:ilvl w:val="0"/>
          <w:numId w:val="1"/>
        </w:numPr>
        <w:spacing w:before="100" w:beforeAutospacing="1" w:after="100" w:afterAutospacing="1" w:line="269" w:lineRule="atLeast"/>
        <w:ind w:left="-322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подскажет, какие еще документы и иные доказательства необходимо подготовить к процессу;</w:t>
      </w:r>
    </w:p>
    <w:p w:rsidR="00AB43E3" w:rsidRPr="00717033" w:rsidRDefault="00AB43E3" w:rsidP="00AB43E3">
      <w:pPr>
        <w:numPr>
          <w:ilvl w:val="0"/>
          <w:numId w:val="1"/>
        </w:numPr>
        <w:spacing w:before="100" w:beforeAutospacing="1" w:after="100" w:afterAutospacing="1" w:line="269" w:lineRule="atLeast"/>
        <w:ind w:left="-322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разъяснит, требуется ли в данном конкретном случае соблюдать досудебный порядок урегулирования конфликта;</w:t>
      </w:r>
    </w:p>
    <w:p w:rsidR="00AB43E3" w:rsidRPr="00717033" w:rsidRDefault="00AB43E3" w:rsidP="00AB43E3">
      <w:pPr>
        <w:numPr>
          <w:ilvl w:val="0"/>
          <w:numId w:val="1"/>
        </w:numPr>
        <w:spacing w:before="100" w:beforeAutospacing="1" w:after="100" w:afterAutospacing="1" w:line="269" w:lineRule="atLeast"/>
        <w:ind w:left="-322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в случае необходимости – поможет подыскать подходящую экспертную организацию, заключение специалистов которой не вызовет сомнений у суда и оппонентов;</w:t>
      </w:r>
    </w:p>
    <w:p w:rsidR="00AB43E3" w:rsidRPr="00717033" w:rsidRDefault="00AB43E3" w:rsidP="00AB43E3">
      <w:pPr>
        <w:numPr>
          <w:ilvl w:val="0"/>
          <w:numId w:val="1"/>
        </w:numPr>
        <w:spacing w:before="100" w:beforeAutospacing="1" w:after="100" w:afterAutospacing="1" w:line="269" w:lineRule="atLeast"/>
        <w:ind w:left="-322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поможет определить, в каком именно суде будет происходить </w:t>
      </w:r>
      <w:r w:rsidRPr="00717033">
        <w:rPr>
          <w:rFonts w:ascii="Times New Roman" w:eastAsia="Times New Roman" w:hAnsi="Times New Roman" w:cs="Times New Roman"/>
          <w:b/>
          <w:bCs/>
          <w:color w:val="2B2B2B"/>
          <w:sz w:val="17"/>
          <w:lang w:eastAsia="ru-RU"/>
        </w:rPr>
        <w:t>рассмотрение земельного спора </w:t>
      </w: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и куда нужно подавать исковое заявление;</w:t>
      </w:r>
    </w:p>
    <w:p w:rsidR="00AB43E3" w:rsidRPr="00717033" w:rsidRDefault="00AB43E3" w:rsidP="00AB43E3">
      <w:pPr>
        <w:numPr>
          <w:ilvl w:val="0"/>
          <w:numId w:val="1"/>
        </w:numPr>
        <w:spacing w:before="100" w:beforeAutospacing="1" w:after="100" w:afterAutospacing="1" w:line="269" w:lineRule="atLeast"/>
        <w:ind w:left="-322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рассчитает такие обязательные параметры иска, как его цену и госпошлину;</w:t>
      </w:r>
    </w:p>
    <w:p w:rsidR="00AB43E3" w:rsidRPr="00717033" w:rsidRDefault="00AB43E3" w:rsidP="00AB43E3">
      <w:pPr>
        <w:numPr>
          <w:ilvl w:val="0"/>
          <w:numId w:val="1"/>
        </w:numPr>
        <w:spacing w:before="100" w:beforeAutospacing="1" w:after="100" w:afterAutospacing="1" w:line="269" w:lineRule="atLeast"/>
        <w:ind w:left="-322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составит текст заявление с соблюдением всех требований, предъявляемых законом к этому документу.</w:t>
      </w:r>
    </w:p>
    <w:p w:rsidR="00AB43E3" w:rsidRPr="00717033" w:rsidRDefault="00AB43E3" w:rsidP="00AB43E3">
      <w:pPr>
        <w:spacing w:after="215" w:line="236" w:lineRule="atLeast"/>
        <w:rPr>
          <w:rFonts w:ascii="Times New Roman" w:eastAsia="Times New Roman" w:hAnsi="Times New Roman" w:cs="Times New Roman"/>
          <w:b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b/>
          <w:color w:val="2B2B2B"/>
          <w:sz w:val="17"/>
          <w:szCs w:val="17"/>
          <w:lang w:eastAsia="ru-RU"/>
        </w:rPr>
        <w:t>Итак, когда исковое заявление и все необходимые по спору документы подготовлены, истцу нужно:</w:t>
      </w:r>
    </w:p>
    <w:p w:rsidR="00AB43E3" w:rsidRPr="00717033" w:rsidRDefault="00AB43E3" w:rsidP="00AB43E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17033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1</w:t>
      </w:r>
    </w:p>
    <w:p w:rsidR="00AB43E3" w:rsidRPr="00717033" w:rsidRDefault="00AB43E3" w:rsidP="00AB43E3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17033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Подать их в суд.</w:t>
      </w:r>
    </w:p>
    <w:p w:rsidR="00AB43E3" w:rsidRPr="00717033" w:rsidRDefault="00AB43E3" w:rsidP="00AB43E3">
      <w:pPr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Можно отнести их непосредственно в канцелярию в здании суда, отправить по почте (в таком случае письмо будет заказным и с описью вложений) либо воспользоваться возможностью электронной подачи документов. Последний способ доступен лишь тем, у кого имеется сертификат электронной подписи. Если заявителю удобнее подать заявление именно в электронном виде, а сертификата подписи у него нет, за него может это может сделать его представитель по доверенности (например, адвокат), у которого имеется сертификат электронной подписи.</w:t>
      </w:r>
    </w:p>
    <w:p w:rsidR="00AB43E3" w:rsidRPr="00717033" w:rsidRDefault="00AB43E3" w:rsidP="00AB43E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17033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2</w:t>
      </w:r>
    </w:p>
    <w:p w:rsidR="00AB43E3" w:rsidRPr="00717033" w:rsidRDefault="00AB43E3" w:rsidP="00AB43E3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17033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Дождаться назначения слушаний.</w:t>
      </w:r>
    </w:p>
    <w:p w:rsidR="00AB43E3" w:rsidRPr="00717033" w:rsidRDefault="00AB43E3" w:rsidP="00AB43E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17033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3</w:t>
      </w:r>
    </w:p>
    <w:p w:rsidR="00AB43E3" w:rsidRPr="00717033" w:rsidRDefault="00AB43E3" w:rsidP="00AB43E3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17033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Принимать участие в заседаниях.</w:t>
      </w:r>
    </w:p>
    <w:p w:rsidR="00AB43E3" w:rsidRPr="00717033" w:rsidRDefault="00AB43E3" w:rsidP="00AB43E3">
      <w:pPr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Истец обязан присутствовать на заседаниях сам. Если по какой-то причине у него такой возможности нет, в суде его интересы должен отстаивать представитель. Также в заседаниях могут присутствовать одновременно истец вместе со своим представителем (или даже несколькими, в законе их количество не ограничивается).</w:t>
      </w:r>
    </w:p>
    <w:p w:rsidR="00AB43E3" w:rsidRPr="00717033" w:rsidRDefault="00AB43E3" w:rsidP="00AB43E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17033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4</w:t>
      </w:r>
    </w:p>
    <w:p w:rsidR="00AB43E3" w:rsidRPr="00717033" w:rsidRDefault="00AB43E3" w:rsidP="00AB43E3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17033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Во время процесса представлять свои доводы, документы, доказательства.</w:t>
      </w:r>
    </w:p>
    <w:p w:rsidR="00AB43E3" w:rsidRPr="00717033" w:rsidRDefault="00AB43E3" w:rsidP="00AB43E3">
      <w:pPr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Также придется опровергать доводы и реагиров</w:t>
      </w:r>
      <w:r w:rsidR="00112119"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ать на доказательства оппонента</w:t>
      </w: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.</w:t>
      </w:r>
    </w:p>
    <w:p w:rsidR="00AB43E3" w:rsidRPr="00717033" w:rsidRDefault="00AB43E3" w:rsidP="00AB43E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17033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5</w:t>
      </w:r>
    </w:p>
    <w:p w:rsidR="00AB43E3" w:rsidRPr="00717033" w:rsidRDefault="00AB43E3" w:rsidP="00AB43E3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17033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Дождаться решения суда.</w:t>
      </w:r>
    </w:p>
    <w:p w:rsidR="00AB43E3" w:rsidRPr="00717033" w:rsidRDefault="00AB43E3" w:rsidP="00AB43E3">
      <w:pPr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Когда оно случится – предугадать трудно. Процесс может пройти быстро, а может и затянуться.</w:t>
      </w:r>
    </w:p>
    <w:p w:rsidR="00AB43E3" w:rsidRPr="00717033" w:rsidRDefault="00AB43E3" w:rsidP="00AB43E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17033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6</w:t>
      </w:r>
    </w:p>
    <w:p w:rsidR="00AB43E3" w:rsidRPr="00717033" w:rsidRDefault="00AB43E3" w:rsidP="00AB43E3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17033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В случае несогласия с решением – обжаловать его в следующие инстанции.</w:t>
      </w:r>
    </w:p>
    <w:p w:rsidR="00AB43E3" w:rsidRPr="00717033" w:rsidRDefault="00AB43E3" w:rsidP="00AB43E3">
      <w:pPr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Если итог устраивает – необходимо дождаться вступления решения в законную силу.</w:t>
      </w:r>
    </w:p>
    <w:p w:rsidR="00AB43E3" w:rsidRPr="00717033" w:rsidRDefault="00AB43E3" w:rsidP="00AB43E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17033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7</w:t>
      </w:r>
    </w:p>
    <w:p w:rsidR="00AB43E3" w:rsidRPr="00717033" w:rsidRDefault="00AB43E3" w:rsidP="00AB43E3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17033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Если решение обжаловал ответчик</w:t>
      </w:r>
    </w:p>
    <w:p w:rsidR="00AB43E3" w:rsidRPr="00717033" w:rsidRDefault="00AB43E3" w:rsidP="00AB43E3">
      <w:pPr>
        <w:spacing w:after="215" w:line="236" w:lineRule="atLeast"/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продолжать отстаивать свои интересы в рассматривающих это дело инстанциях.</w:t>
      </w:r>
    </w:p>
    <w:p w:rsidR="00AB43E3" w:rsidRPr="00717033" w:rsidRDefault="00AB43E3" w:rsidP="00AB43E3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</w:pPr>
      <w:r w:rsidRPr="00717033">
        <w:rPr>
          <w:rFonts w:ascii="Times New Roman" w:eastAsia="Times New Roman" w:hAnsi="Times New Roman" w:cs="Times New Roman"/>
          <w:color w:val="C99E67"/>
          <w:spacing w:val="13"/>
          <w:sz w:val="19"/>
          <w:szCs w:val="19"/>
          <w:lang w:eastAsia="ru-RU"/>
        </w:rPr>
        <w:t>8</w:t>
      </w:r>
    </w:p>
    <w:p w:rsidR="00AB43E3" w:rsidRPr="00717033" w:rsidRDefault="00AB43E3" w:rsidP="00AB43E3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</w:pPr>
      <w:r w:rsidRPr="00717033">
        <w:rPr>
          <w:rFonts w:ascii="Times New Roman" w:eastAsia="Times New Roman" w:hAnsi="Times New Roman" w:cs="Times New Roman"/>
          <w:b/>
          <w:bCs/>
          <w:color w:val="2B2B2B"/>
          <w:sz w:val="23"/>
          <w:szCs w:val="23"/>
          <w:lang w:eastAsia="ru-RU"/>
        </w:rPr>
        <w:t>Получив решение, предпринять действия, ради которых подавалось заявление.</w:t>
      </w:r>
    </w:p>
    <w:p w:rsidR="00D84587" w:rsidRPr="00717033" w:rsidRDefault="00AB43E3" w:rsidP="00717033">
      <w:pPr>
        <w:spacing w:after="215" w:line="236" w:lineRule="atLeast"/>
        <w:rPr>
          <w:rFonts w:ascii="Times New Roman" w:hAnsi="Times New Roman" w:cs="Times New Roman"/>
        </w:rPr>
      </w:pPr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 xml:space="preserve">Если целью процесса были вопросы, связанные с правом собственности, – закончить оформление в </w:t>
      </w:r>
      <w:proofErr w:type="spellStart"/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Росреестре</w:t>
      </w:r>
      <w:proofErr w:type="spellEnd"/>
      <w:r w:rsidRPr="00717033">
        <w:rPr>
          <w:rFonts w:ascii="Times New Roman" w:eastAsia="Times New Roman" w:hAnsi="Times New Roman" w:cs="Times New Roman"/>
          <w:color w:val="2B2B2B"/>
          <w:sz w:val="17"/>
          <w:szCs w:val="17"/>
          <w:lang w:eastAsia="ru-RU"/>
        </w:rPr>
        <w:t>. Если ответчика обязали выполнить определенные действия – добиться от него исполнения решения суда: добровольно либо через службу судебных приставов.</w:t>
      </w:r>
    </w:p>
    <w:sectPr w:rsidR="00D84587" w:rsidRPr="00717033" w:rsidSect="007170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2AB3"/>
    <w:multiLevelType w:val="multilevel"/>
    <w:tmpl w:val="B638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43E3"/>
    <w:rsid w:val="00112119"/>
    <w:rsid w:val="004D0990"/>
    <w:rsid w:val="00717033"/>
    <w:rsid w:val="00AB43E3"/>
    <w:rsid w:val="00B36536"/>
    <w:rsid w:val="00D84587"/>
    <w:rsid w:val="00FE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87"/>
  </w:style>
  <w:style w:type="paragraph" w:styleId="1">
    <w:name w:val="heading 1"/>
    <w:basedOn w:val="a"/>
    <w:link w:val="10"/>
    <w:uiPriority w:val="9"/>
    <w:qFormat/>
    <w:rsid w:val="00AB4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4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4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865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799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2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3668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4906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4925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single" w:sz="8" w:space="0" w:color="C99E67"/>
                                <w:left w:val="single" w:sz="8" w:space="1" w:color="C99E67"/>
                                <w:bottom w:val="single" w:sz="8" w:space="0" w:color="C99E67"/>
                                <w:right w:val="single" w:sz="8" w:space="0" w:color="C99E67"/>
                              </w:divBdr>
                            </w:div>
                            <w:div w:id="8179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5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2629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single" w:sz="8" w:space="0" w:color="C99E67"/>
                                <w:left w:val="single" w:sz="8" w:space="1" w:color="C99E67"/>
                                <w:bottom w:val="single" w:sz="8" w:space="0" w:color="C99E67"/>
                                <w:right w:val="single" w:sz="8" w:space="0" w:color="C99E67"/>
                              </w:divBdr>
                            </w:div>
                            <w:div w:id="13815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5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1076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single" w:sz="8" w:space="0" w:color="C99E67"/>
                                <w:left w:val="single" w:sz="8" w:space="1" w:color="C99E67"/>
                                <w:bottom w:val="single" w:sz="8" w:space="0" w:color="C99E67"/>
                                <w:right w:val="single" w:sz="8" w:space="0" w:color="C99E67"/>
                              </w:divBdr>
                            </w:div>
                            <w:div w:id="14794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2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7229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single" w:sz="8" w:space="0" w:color="C99E67"/>
                                <w:left w:val="single" w:sz="8" w:space="1" w:color="C99E67"/>
                                <w:bottom w:val="single" w:sz="8" w:space="0" w:color="C99E67"/>
                                <w:right w:val="single" w:sz="8" w:space="0" w:color="C99E67"/>
                              </w:divBdr>
                            </w:div>
                            <w:div w:id="43086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0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2491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single" w:sz="8" w:space="0" w:color="C99E67"/>
                                <w:left w:val="single" w:sz="8" w:space="1" w:color="C99E67"/>
                                <w:bottom w:val="single" w:sz="8" w:space="0" w:color="C99E67"/>
                                <w:right w:val="single" w:sz="8" w:space="0" w:color="C99E67"/>
                              </w:divBdr>
                            </w:div>
                            <w:div w:id="9715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3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2988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single" w:sz="8" w:space="0" w:color="C99E67"/>
                                <w:left w:val="single" w:sz="8" w:space="1" w:color="C99E67"/>
                                <w:bottom w:val="single" w:sz="8" w:space="0" w:color="C99E67"/>
                                <w:right w:val="single" w:sz="8" w:space="0" w:color="C99E67"/>
                              </w:divBdr>
                            </w:div>
                            <w:div w:id="19147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9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0358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single" w:sz="8" w:space="0" w:color="C99E67"/>
                                <w:left w:val="single" w:sz="8" w:space="1" w:color="C99E67"/>
                                <w:bottom w:val="single" w:sz="8" w:space="0" w:color="C99E67"/>
                                <w:right w:val="single" w:sz="8" w:space="0" w:color="C99E67"/>
                              </w:divBdr>
                            </w:div>
                            <w:div w:id="50286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1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7679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single" w:sz="8" w:space="0" w:color="C99E67"/>
                                <w:left w:val="single" w:sz="8" w:space="1" w:color="C99E67"/>
                                <w:bottom w:val="single" w:sz="8" w:space="0" w:color="C99E67"/>
                                <w:right w:val="single" w:sz="8" w:space="0" w:color="C99E67"/>
                              </w:divBdr>
                            </w:div>
                            <w:div w:id="19567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2504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2023-06-28T21:16:00Z</dcterms:created>
  <dcterms:modified xsi:type="dcterms:W3CDTF">2023-07-01T05:58:00Z</dcterms:modified>
</cp:coreProperties>
</file>