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Приказ Минэкономразвития России от 27.03.2025 N 195</w:t>
              <w:br/>
              <w:t xml:space="preserve">"Об утверждении Требований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предусматривающих основные направления расходов при реализации мероприятий, ключевые показатели эффективности реализации мероприятий, в том числе требований к организациям, образующим инфраструктуру поддержки субъектов малого и среднего предпринимательства, требований к государственным (муниципальным) микрофинансовым организациям и к их деятельности"</w:t>
              <w:br/>
              <w:t xml:space="preserve">(Зарегистрировано в Минюсте России 15.07.2025 N 82925)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июля 2025 г. N 82925</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ЭКОНОМИЧЕСКОГО РАЗВИТИЯ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марта 2025 г. N 195</w:t>
      </w:r>
    </w:p>
    <w:p>
      <w:pPr>
        <w:pStyle w:val="2"/>
        <w:jc w:val="center"/>
      </w:pPr>
      <w:r>
        <w:rPr>
          <w:sz w:val="20"/>
        </w:rPr>
      </w:r>
    </w:p>
    <w:p>
      <w:pPr>
        <w:pStyle w:val="2"/>
        <w:jc w:val="center"/>
      </w:pPr>
      <w:r>
        <w:rPr>
          <w:sz w:val="20"/>
        </w:rPr>
        <w:t xml:space="preserve">ОБ УТВЕРЖДЕНИИ ТРЕБОВАНИЙ</w:t>
      </w:r>
    </w:p>
    <w:p>
      <w:pPr>
        <w:pStyle w:val="2"/>
        <w:jc w:val="center"/>
      </w:pPr>
      <w:r>
        <w:rPr>
          <w:sz w:val="20"/>
        </w:rPr>
        <w:t xml:space="preserve">ДЛЯ РЕАЛИЗАЦИИ СУБЪЕКТАМИ РОССИЙСКОЙ ФЕДЕРАЦИИ</w:t>
      </w:r>
    </w:p>
    <w:p>
      <w:pPr>
        <w:pStyle w:val="2"/>
        <w:jc w:val="center"/>
      </w:pPr>
      <w:r>
        <w:rPr>
          <w:sz w:val="20"/>
        </w:rPr>
        <w:t xml:space="preserve">МЕРОПРИЯТИЙ РЕГИОНАЛЬНЫХ ПРОЕКТОВ, ОБЕСПЕЧИВАЮЩИХ</w:t>
      </w:r>
    </w:p>
    <w:p>
      <w:pPr>
        <w:pStyle w:val="2"/>
        <w:jc w:val="center"/>
      </w:pPr>
      <w:r>
        <w:rPr>
          <w:sz w:val="20"/>
        </w:rPr>
        <w:t xml:space="preserve">ДОСТИЖЕНИЕ ЦЕЛЕЙ, ПОКАЗАТЕЛЕЙ И РЕЗУЛЬТАТОВ ФЕДЕРАЛЬНОГО</w:t>
      </w:r>
    </w:p>
    <w:p>
      <w:pPr>
        <w:pStyle w:val="2"/>
        <w:jc w:val="center"/>
      </w:pPr>
      <w:r>
        <w:rPr>
          <w:sz w:val="20"/>
        </w:rPr>
        <w:t xml:space="preserve">ПРОЕКТА "МАЛОЕ И СРЕДНЕЕ ПРЕДПРИНИМАТЕЛЬСТВО И ПОДДЕРЖКА</w:t>
      </w:r>
    </w:p>
    <w:p>
      <w:pPr>
        <w:pStyle w:val="2"/>
        <w:jc w:val="center"/>
      </w:pPr>
      <w:r>
        <w:rPr>
          <w:sz w:val="20"/>
        </w:rPr>
        <w:t xml:space="preserve">ИНДИВИДУАЛЬНОЙ ПРЕДПРИНИМАТЕЛЬСКОЙ ИНИЦИАТИВЫ", ВХОДЯЩЕГО</w:t>
      </w:r>
    </w:p>
    <w:p>
      <w:pPr>
        <w:pStyle w:val="2"/>
        <w:jc w:val="center"/>
      </w:pPr>
      <w:r>
        <w:rPr>
          <w:sz w:val="20"/>
        </w:rPr>
        <w:t xml:space="preserve">В СОСТАВ НАЦИОНАЛЬНОГО ПРОЕКТА "ЭФФЕКТИВНАЯ И КОНКУРЕНТНАЯ</w:t>
      </w:r>
    </w:p>
    <w:p>
      <w:pPr>
        <w:pStyle w:val="2"/>
        <w:jc w:val="center"/>
      </w:pPr>
      <w:r>
        <w:rPr>
          <w:sz w:val="20"/>
        </w:rPr>
        <w:t xml:space="preserve">ЭКОНОМИКА", ПРЕДУСМАТРИВАЮЩИХ ОСНОВНЫЕ НАПРАВЛЕНИЯ</w:t>
      </w:r>
    </w:p>
    <w:p>
      <w:pPr>
        <w:pStyle w:val="2"/>
        <w:jc w:val="center"/>
      </w:pPr>
      <w:r>
        <w:rPr>
          <w:sz w:val="20"/>
        </w:rPr>
        <w:t xml:space="preserve">РАСХОДОВ ПРИ РЕАЛИЗАЦИИ МЕРОПРИЯТИЙ, КЛЮЧЕВЫЕ ПОКАЗАТЕЛИ</w:t>
      </w:r>
    </w:p>
    <w:p>
      <w:pPr>
        <w:pStyle w:val="2"/>
        <w:jc w:val="center"/>
      </w:pPr>
      <w:r>
        <w:rPr>
          <w:sz w:val="20"/>
        </w:rPr>
        <w:t xml:space="preserve">ЭФФЕКТИВНОСТИ РЕАЛИЗАЦИИ МЕРОПРИЯТИЙ, В ТОМ ЧИСЛЕ ТРЕБОВАНИЙ</w:t>
      </w:r>
    </w:p>
    <w:p>
      <w:pPr>
        <w:pStyle w:val="2"/>
        <w:jc w:val="center"/>
      </w:pPr>
      <w:r>
        <w:rPr>
          <w:sz w:val="20"/>
        </w:rPr>
        <w:t xml:space="preserve">К ОРГАНИЗАЦИЯМ, ОБРАЗУЮЩИМ ИНФРАСТРУКТУРУ ПОДДЕРЖКИ</w:t>
      </w:r>
    </w:p>
    <w:p>
      <w:pPr>
        <w:pStyle w:val="2"/>
        <w:jc w:val="center"/>
      </w:pPr>
      <w:r>
        <w:rPr>
          <w:sz w:val="20"/>
        </w:rPr>
        <w:t xml:space="preserve">СУБЪЕКТОВ МАЛОГО И СРЕДНЕГО ПРЕДПРИНИМАТЕЛЬСТВА, ТРЕБОВАНИЙ</w:t>
      </w:r>
    </w:p>
    <w:p>
      <w:pPr>
        <w:pStyle w:val="2"/>
        <w:jc w:val="center"/>
      </w:pPr>
      <w:r>
        <w:rPr>
          <w:sz w:val="20"/>
        </w:rPr>
        <w:t xml:space="preserve">К ГОСУДАРСТВЕННЫМ (МУНИЦИПАЛЬНЫМ) МИКРОФИНАНСОВЫМ</w:t>
      </w:r>
    </w:p>
    <w:p>
      <w:pPr>
        <w:pStyle w:val="2"/>
        <w:jc w:val="center"/>
      </w:pPr>
      <w:r>
        <w:rPr>
          <w:sz w:val="20"/>
        </w:rPr>
        <w:t xml:space="preserve">ОРГАНИЗАЦИЯМ И К ИХ ДЕЯТЕЛЬНОСТИ</w:t>
      </w:r>
    </w:p>
    <w:p>
      <w:pPr>
        <w:pStyle w:val="0"/>
        <w:jc w:val="center"/>
      </w:pPr>
      <w:r>
        <w:rPr>
          <w:sz w:val="20"/>
        </w:rPr>
      </w:r>
    </w:p>
    <w:p>
      <w:pPr>
        <w:pStyle w:val="0"/>
        <w:ind w:firstLine="540"/>
        <w:jc w:val="both"/>
      </w:pPr>
      <w:r>
        <w:rPr>
          <w:sz w:val="20"/>
        </w:rPr>
        <w:t xml:space="preserve">В соответствии с </w:t>
      </w:r>
      <w:hyperlink w:history="0" r:id="rId8"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частью 3 статьи 15</w:t>
        </w:r>
      </w:hyperlink>
      <w:r>
        <w:rPr>
          <w:sz w:val="20"/>
        </w:rPr>
        <w:t xml:space="preserve"> и </w:t>
      </w:r>
      <w:hyperlink w:history="0" r:id="rId9"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частью 4 статьи 15.4</w:t>
        </w:r>
      </w:hyperlink>
      <w:r>
        <w:rPr>
          <w:sz w:val="20"/>
        </w:rPr>
        <w:t xml:space="preserve"> Федерального закона от 24 июля 2007 г. N 209-ФЗ "О развитии малого и среднего предпринимательства в Российской Федерации", </w:t>
      </w:r>
      <w:hyperlink w:history="0" r:id="rId10" w:tooltip="Постановление Правительства РФ от 05.06.2008 N 437 (ред. от 24.04.2025) &quot;О Министерстве экономического развития Российской Федерации&quot; {КонсультантПлюс}">
        <w:r>
          <w:rPr>
            <w:sz w:val="20"/>
            <w:color w:val="0000ff"/>
          </w:rPr>
          <w:t xml:space="preserve">абзацем первым пункта 1</w:t>
        </w:r>
      </w:hyperlink>
      <w:r>
        <w:rPr>
          <w:sz w:val="20"/>
        </w:rP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w:t>
      </w:r>
      <w:hyperlink w:history="0" r:id="rId11"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абзацем пятым пункта 4</w:t>
        </w:r>
      </w:hyperlink>
      <w:r>
        <w:rPr>
          <w:sz w:val="20"/>
        </w:rP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приведенных в приложении N 48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приказываю:</w:t>
      </w:r>
    </w:p>
    <w:p>
      <w:pPr>
        <w:pStyle w:val="0"/>
        <w:spacing w:before="200" w:lineRule="auto"/>
        <w:ind w:firstLine="540"/>
        <w:jc w:val="both"/>
      </w:pPr>
      <w:r>
        <w:rPr>
          <w:sz w:val="20"/>
        </w:rPr>
        <w:t xml:space="preserve">Утвердить прилагаемые </w:t>
      </w:r>
      <w:hyperlink w:history="0" w:anchor="P38" w:tooltip="ТРЕБОВАНИЯ">
        <w:r>
          <w:rPr>
            <w:sz w:val="20"/>
            <w:color w:val="0000ff"/>
          </w:rPr>
          <w:t xml:space="preserve">Требования</w:t>
        </w:r>
      </w:hyperlink>
      <w:r>
        <w:rPr>
          <w:sz w:val="20"/>
        </w:rPr>
        <w:t xml:space="preserve">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 требования к государственным (муниципальным) микрофинансовым организациям и к их деятельности.</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М.Г.РЕШЕТНИКОВ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Минэкономразвития России</w:t>
      </w:r>
    </w:p>
    <w:p>
      <w:pPr>
        <w:pStyle w:val="0"/>
        <w:jc w:val="right"/>
      </w:pPr>
      <w:r>
        <w:rPr>
          <w:sz w:val="20"/>
        </w:rPr>
        <w:t xml:space="preserve">от 27 марта 2025 г. N 195</w:t>
      </w:r>
    </w:p>
    <w:p>
      <w:pPr>
        <w:pStyle w:val="0"/>
        <w:jc w:val="right"/>
      </w:pPr>
      <w:r>
        <w:rPr>
          <w:sz w:val="20"/>
        </w:rPr>
      </w:r>
    </w:p>
    <w:bookmarkStart w:id="38" w:name="P38"/>
    <w:bookmarkEnd w:id="38"/>
    <w:p>
      <w:pPr>
        <w:pStyle w:val="2"/>
        <w:jc w:val="center"/>
      </w:pPr>
      <w:r>
        <w:rPr>
          <w:sz w:val="20"/>
        </w:rPr>
        <w:t xml:space="preserve">ТРЕБОВАНИЯ</w:t>
      </w:r>
    </w:p>
    <w:p>
      <w:pPr>
        <w:pStyle w:val="2"/>
        <w:jc w:val="center"/>
      </w:pPr>
      <w:r>
        <w:rPr>
          <w:sz w:val="20"/>
        </w:rPr>
        <w:t xml:space="preserve">ДЛЯ РЕАЛИЗАЦИИ СУБЪЕКТАМИ РОССИЙСКОЙ ФЕДЕРАЦИИ</w:t>
      </w:r>
    </w:p>
    <w:p>
      <w:pPr>
        <w:pStyle w:val="2"/>
        <w:jc w:val="center"/>
      </w:pPr>
      <w:r>
        <w:rPr>
          <w:sz w:val="20"/>
        </w:rPr>
        <w:t xml:space="preserve">МЕРОПРИЯТИЙ РЕГИОНАЛЬНЫХ ПРОЕКТОВ, ОБЕСПЕЧИВАЮЩИХ</w:t>
      </w:r>
    </w:p>
    <w:p>
      <w:pPr>
        <w:pStyle w:val="2"/>
        <w:jc w:val="center"/>
      </w:pPr>
      <w:r>
        <w:rPr>
          <w:sz w:val="20"/>
        </w:rPr>
        <w:t xml:space="preserve">ДОСТИЖЕНИЕ ЦЕЛЕЙ, ПОКАЗАТЕЛЕЙ И РЕЗУЛЬТАТОВ ФЕДЕРАЛЬНОГО</w:t>
      </w:r>
    </w:p>
    <w:p>
      <w:pPr>
        <w:pStyle w:val="2"/>
        <w:jc w:val="center"/>
      </w:pPr>
      <w:r>
        <w:rPr>
          <w:sz w:val="20"/>
        </w:rPr>
        <w:t xml:space="preserve">ПРОЕКТА "МАЛОЕ И СРЕДНЕЕ ПРЕДПРИНИМАТЕЛЬСТВО И ПОДДЕРЖКА</w:t>
      </w:r>
    </w:p>
    <w:p>
      <w:pPr>
        <w:pStyle w:val="2"/>
        <w:jc w:val="center"/>
      </w:pPr>
      <w:r>
        <w:rPr>
          <w:sz w:val="20"/>
        </w:rPr>
        <w:t xml:space="preserve">ИНДИВИДУАЛЬНОЙ ПРЕДПРИНИМАТЕЛЬСКОЙ ИНИЦИАТИВЫ", ВХОДЯЩЕГО</w:t>
      </w:r>
    </w:p>
    <w:p>
      <w:pPr>
        <w:pStyle w:val="2"/>
        <w:jc w:val="center"/>
      </w:pPr>
      <w:r>
        <w:rPr>
          <w:sz w:val="20"/>
        </w:rPr>
        <w:t xml:space="preserve">В СОСТАВ НАЦИОНАЛЬНОГО ПРОЕКТА "ЭФФЕКТИВНАЯ И КОНКУРЕНТНАЯ</w:t>
      </w:r>
    </w:p>
    <w:p>
      <w:pPr>
        <w:pStyle w:val="2"/>
        <w:jc w:val="center"/>
      </w:pPr>
      <w:r>
        <w:rPr>
          <w:sz w:val="20"/>
        </w:rPr>
        <w:t xml:space="preserve">ЭКОНОМИКА", ПРЕДУСМАТРИВАЮЩИЕ ОСНОВНЫЕ НАПРАВЛЕНИЯ</w:t>
      </w:r>
    </w:p>
    <w:p>
      <w:pPr>
        <w:pStyle w:val="2"/>
        <w:jc w:val="center"/>
      </w:pPr>
      <w:r>
        <w:rPr>
          <w:sz w:val="20"/>
        </w:rPr>
        <w:t xml:space="preserve">РАСХОДОВ ПРИ РЕАЛИЗАЦИИ МЕРОПРИЯТИЙ, КЛЮЧЕВЫЕ ПОКАЗАТЕЛИ</w:t>
      </w:r>
    </w:p>
    <w:p>
      <w:pPr>
        <w:pStyle w:val="2"/>
        <w:jc w:val="center"/>
      </w:pPr>
      <w:r>
        <w:rPr>
          <w:sz w:val="20"/>
        </w:rPr>
        <w:t xml:space="preserve">ЭФФЕКТИВНОСТИ РЕАЛИЗАЦИИ МЕРОПРИЯТИЙ, В ТОМ ЧИСЛЕ ТРЕБОВАНИЯ</w:t>
      </w:r>
    </w:p>
    <w:p>
      <w:pPr>
        <w:pStyle w:val="2"/>
        <w:jc w:val="center"/>
      </w:pPr>
      <w:r>
        <w:rPr>
          <w:sz w:val="20"/>
        </w:rPr>
        <w:t xml:space="preserve">К ОРГАНИЗАЦИЯМ, ОБРАЗУЮЩИМ ИНФРАСТРУКТУРУ ПОДДЕРЖКИ</w:t>
      </w:r>
    </w:p>
    <w:p>
      <w:pPr>
        <w:pStyle w:val="2"/>
        <w:jc w:val="center"/>
      </w:pPr>
      <w:r>
        <w:rPr>
          <w:sz w:val="20"/>
        </w:rPr>
        <w:t xml:space="preserve">СУБЪЕКТОВ МАЛОГО И СРЕДНЕГО ПРЕДПРИНИМАТЕЛЬСТВА, ТРЕБОВАНИЯ</w:t>
      </w:r>
    </w:p>
    <w:p>
      <w:pPr>
        <w:pStyle w:val="2"/>
        <w:jc w:val="center"/>
      </w:pPr>
      <w:r>
        <w:rPr>
          <w:sz w:val="20"/>
        </w:rPr>
        <w:t xml:space="preserve">К ГОСУДАРСТВЕННЫМ (МУНИЦИПАЛЬНЫМ) МИКРОФИНАНСОВЫМ</w:t>
      </w:r>
    </w:p>
    <w:p>
      <w:pPr>
        <w:pStyle w:val="2"/>
        <w:jc w:val="center"/>
      </w:pPr>
      <w:r>
        <w:rPr>
          <w:sz w:val="20"/>
        </w:rPr>
        <w:t xml:space="preserve">ОРГАНИЗАЦИЯМ И К ИХ ДЕЯТЕЛЬНОСТИ</w:t>
      </w:r>
    </w:p>
    <w:p>
      <w:pPr>
        <w:pStyle w:val="0"/>
        <w:jc w:val="center"/>
      </w:pPr>
      <w:r>
        <w:rPr>
          <w:sz w:val="20"/>
        </w:rPr>
      </w:r>
    </w:p>
    <w:p>
      <w:pPr>
        <w:pStyle w:val="0"/>
        <w:ind w:firstLine="540"/>
        <w:jc w:val="both"/>
      </w:pPr>
      <w:r>
        <w:rPr>
          <w:sz w:val="20"/>
        </w:rPr>
        <w:t xml:space="preserve">1. Настоящие Требования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(далее - федеральный проект),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 (далее - МСП), требования к государственным (муниципальным) микрофинансовым организациям и к их деятельности, подготовлены в целях предоставления субсидий бюджетам субъектов Российской Федерации на государственную поддержку МСП в субъектах Российской Федерации в рамках государственной </w:t>
      </w:r>
      <w:hyperlink w:history="0" r:id="rId12"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программы</w:t>
        </w:r>
      </w:hyperlink>
      <w:r>
        <w:rPr>
          <w:sz w:val="20"/>
        </w:rP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(далее соответственно - субсидия, государственная программа "Экономическое развитие и инновационная экономика"), а также в целях обеспечения соответствия деятельности организаций, образующих инфраструктуру поддержки субъектов МСП, требованиям Федерального </w:t>
      </w:r>
      <w:hyperlink w:history="0" r:id="rId13"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закона</w:t>
        </w:r>
      </w:hyperlink>
      <w:r>
        <w:rPr>
          <w:sz w:val="20"/>
        </w:rPr>
        <w:t xml:space="preserve"> от 24 июля 2007 г. N 209-ФЗ "О развитии малого и среднего предпринимательства в Российской Федерации" (далее - Федеральный закон N 209-ФЗ).</w:t>
      </w:r>
    </w:p>
    <w:p>
      <w:pPr>
        <w:pStyle w:val="0"/>
        <w:spacing w:before="200" w:lineRule="auto"/>
        <w:ind w:firstLine="540"/>
        <w:jc w:val="both"/>
      </w:pPr>
      <w:r>
        <w:rPr>
          <w:sz w:val="20"/>
        </w:rPr>
        <w:t xml:space="preserve">2. Государственная (муниципальная) микрофинансовая организация (далее - ГМФО) должна соответствовать требованиям, указанным в </w:t>
      </w:r>
      <w:hyperlink w:history="0" w:anchor="P55" w:tooltip="2.1. ГМФО осуществляет микрофинансовую деятельность в порядке, предусмотренном Федеральным законом от 2 июля 2010 г. N 151-ФЗ &quot;О микрофинансовой деятельности и микрофинансовых организациях&quot; (далее - Федеральный закон N 151-ФЗ).">
        <w:r>
          <w:rPr>
            <w:sz w:val="20"/>
            <w:color w:val="0000ff"/>
          </w:rPr>
          <w:t xml:space="preserve">подпунктах 2.1</w:t>
        </w:r>
      </w:hyperlink>
      <w:r>
        <w:rPr>
          <w:sz w:val="20"/>
        </w:rPr>
        <w:t xml:space="preserve"> - </w:t>
      </w:r>
      <w:hyperlink w:history="0" w:anchor="P257" w:tooltip="2.17. ГМФО должна обеспечивать выполнение функций, предусмотренных подпунктом 3.3.1 пункта 3 настоящих Требований, в случае если ГМФО определена в качестве единого органа управления организациями, образующими инфраструктуру поддержки субъектов МСП.">
        <w:r>
          <w:rPr>
            <w:sz w:val="20"/>
            <w:color w:val="0000ff"/>
          </w:rPr>
          <w:t xml:space="preserve">2.17</w:t>
        </w:r>
      </w:hyperlink>
      <w:r>
        <w:rPr>
          <w:sz w:val="20"/>
        </w:rPr>
        <w:t xml:space="preserve"> настоящего пункта.</w:t>
      </w:r>
    </w:p>
    <w:bookmarkStart w:id="55" w:name="P55"/>
    <w:bookmarkEnd w:id="55"/>
    <w:p>
      <w:pPr>
        <w:pStyle w:val="0"/>
        <w:spacing w:before="200" w:lineRule="auto"/>
        <w:ind w:firstLine="540"/>
        <w:jc w:val="both"/>
      </w:pPr>
      <w:r>
        <w:rPr>
          <w:sz w:val="20"/>
        </w:rPr>
        <w:t xml:space="preserve">2.1. ГМФО осуществляет микрофинансовую деятельность в порядке, предусмотренном Федеральным </w:t>
      </w:r>
      <w:hyperlink w:history="0" r:id="rId14"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2 июля 2010 г. N 151-ФЗ "О микрофинансовой деятельности и микрофинансовых организациях" (далее - Федеральный закон N 151-ФЗ).</w:t>
      </w:r>
    </w:p>
    <w:bookmarkStart w:id="56" w:name="P56"/>
    <w:bookmarkEnd w:id="56"/>
    <w:p>
      <w:pPr>
        <w:pStyle w:val="0"/>
        <w:spacing w:before="200" w:lineRule="auto"/>
        <w:ind w:firstLine="540"/>
        <w:jc w:val="both"/>
      </w:pPr>
      <w:r>
        <w:rPr>
          <w:sz w:val="20"/>
        </w:rPr>
        <w:t xml:space="preserve">ГМФО создается и (или) осуществляет деятельность как отдельное от фонда содействия кредитованию (гарантийного фонда, фонда поручительств) (далее - РГО) юридическое лицо.</w:t>
      </w:r>
    </w:p>
    <w:bookmarkStart w:id="57" w:name="P57"/>
    <w:bookmarkEnd w:id="57"/>
    <w:p>
      <w:pPr>
        <w:pStyle w:val="0"/>
        <w:spacing w:before="200" w:lineRule="auto"/>
        <w:ind w:firstLine="540"/>
        <w:jc w:val="both"/>
      </w:pPr>
      <w:r>
        <w:rPr>
          <w:sz w:val="20"/>
        </w:rPr>
        <w:t xml:space="preserve">2.2. ГМФО должна использовать собственные средства (капитал), включающие средства, полученные на осуществление микрофинансовой деятельности из бюджетов всех уровней, финансовый результат от средств, полученных на осуществление микрофинансовой деятельности из федерального бюджета и регионального бюджета на условиях софинансирования федерального бюджета, иные поступления на осуществление микрофинансовой деятельности, исключительно в целях осуществления микрофинансовой деятельности.</w:t>
      </w:r>
    </w:p>
    <w:p>
      <w:pPr>
        <w:pStyle w:val="0"/>
        <w:spacing w:before="200" w:lineRule="auto"/>
        <w:ind w:firstLine="540"/>
        <w:jc w:val="both"/>
      </w:pPr>
      <w:r>
        <w:rPr>
          <w:sz w:val="20"/>
        </w:rPr>
        <w:t xml:space="preserve">2.2.1. Размер собственных средств (капитала) ГМФО определяется по данным бухгалтерской (финансовой) отчетности по состоянию на конец отчетного периода (квартал, год) в соответствии с </w:t>
      </w:r>
      <w:hyperlink w:history="0" w:anchor="P160" w:tooltip="2.13.1. Показатель &quot;Собственные средства (капитал) ГМФО&quot; (К) рассчитывается в соответствии с Указанием Банка России от 1 июня 2020 г. N 5472-У &quot;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quot; &lt;4&gt; для микрокредитной компании, в соответствии с Указанием Банка России от 11 сентября 2019 г. N 5253-У &quot;Об установлении методики определения собственных средств (капитала) микрофинансовой компании&quot; &lt;...">
        <w:r>
          <w:rPr>
            <w:sz w:val="20"/>
            <w:color w:val="0000ff"/>
          </w:rPr>
          <w:t xml:space="preserve">подпунктом 2.13.1 пункта 2</w:t>
        </w:r>
      </w:hyperlink>
      <w:r>
        <w:rPr>
          <w:sz w:val="20"/>
        </w:rPr>
        <w:t xml:space="preserve"> настоящих Требований и </w:t>
      </w:r>
      <w:hyperlink w:history="0" r:id="rId15" w:tooltip="Указание Банка России от 11.09.2019 N 5253-У (ред. от 29.05.2023) &quot;Об установлении методики определения собственных средств (капитала) микрофинансовой компании&quot; (Зарегистрировано в Минюсте России 06.12.2019 N 56723) {КонсультантПлюс}">
        <w:r>
          <w:rPr>
            <w:sz w:val="20"/>
            <w:color w:val="0000ff"/>
          </w:rPr>
          <w:t xml:space="preserve">Указанием</w:t>
        </w:r>
      </w:hyperlink>
      <w:r>
        <w:rPr>
          <w:sz w:val="20"/>
        </w:rPr>
        <w:t xml:space="preserve"> Банка России от 11 сентября 2019 г. N 5253-У "Об установлении методики определения собственных средств (капитала) микрофинансовой компании" &lt;1&gt; или </w:t>
      </w:r>
      <w:hyperlink w:history="0" r:id="rId16" w:tooltip="Указание Банка России от 01.06.2020 N 5472-У &quot;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quot; (Зарегистрировано в Минюсте России 25.06.2020 N 58774) {КонсультантПлюс}">
        <w:r>
          <w:rPr>
            <w:sz w:val="20"/>
            <w:color w:val="0000ff"/>
          </w:rPr>
          <w:t xml:space="preserve">Указанием</w:t>
        </w:r>
      </w:hyperlink>
      <w:r>
        <w:rPr>
          <w:sz w:val="20"/>
        </w:rP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&lt;2&gt;, утверждается решением руководителя (уполномоченного лица) ГМФО и заверяется печатью ГМФО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Зарегистрировано Минюстом России 6 декабря 2019 г., регистрационный N 56723, с изменениями, внесенными указаниями Банка России от 24 февраля 2021 г. N 5739-У (зарегистрировано Минюстом России 26 мая 2021 г., регистрационный N 63625), от 9 сентября 2021 г. N 5918-У (зарегистрировано Минюстом России 18 октября 2021 г., регистрационный N 65451), от 29 мая 2023 г. N 6430-У (зарегистрировано Минюстом России 4 июля 2023 г., регистрационный N 74135).</w:t>
      </w:r>
    </w:p>
    <w:p>
      <w:pPr>
        <w:pStyle w:val="0"/>
        <w:spacing w:before="200" w:lineRule="auto"/>
        <w:ind w:firstLine="540"/>
        <w:jc w:val="both"/>
      </w:pPr>
      <w:r>
        <w:rPr>
          <w:sz w:val="20"/>
        </w:rPr>
        <w:t xml:space="preserve">&lt;2&gt; Зарегистрировано Минюстом России 25 июня 2020 г., регистрационный N 58774.</w:t>
      </w:r>
    </w:p>
    <w:p>
      <w:pPr>
        <w:pStyle w:val="0"/>
        <w:ind w:firstLine="540"/>
        <w:jc w:val="both"/>
      </w:pPr>
      <w:r>
        <w:rPr>
          <w:sz w:val="20"/>
        </w:rPr>
      </w:r>
    </w:p>
    <w:p>
      <w:pPr>
        <w:pStyle w:val="0"/>
        <w:ind w:firstLine="540"/>
        <w:jc w:val="both"/>
      </w:pPr>
      <w:r>
        <w:rPr>
          <w:sz w:val="20"/>
        </w:rPr>
        <w:t xml:space="preserve">2.2.2. ГМФО обеспечивает ведение самостоятельного учета средств целевого финансирования, предоставленных из бюджетов всех уровней в рамках государственной </w:t>
      </w:r>
      <w:hyperlink w:history="0" r:id="rId17"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программы</w:t>
        </w:r>
      </w:hyperlink>
      <w:r>
        <w:rPr>
          <w:sz w:val="20"/>
        </w:rPr>
        <w:t xml:space="preserve"> "Экономическое развитие и инновационная экономика" и (или) ранее действовавших государственных программ, направленных на поддержку МСП, средств, в том числе предоставленных сверх средств софинансирования федерального бюджета, средств, полученных в результате предпринимательской деятельности, средств заемного финансирования, средств, предоставленных из бюджетов всех уровней в рамках государственных программ Российской Федерации, государственных программ субъектов Российской Федерации и муниципальных программ. В случае наличия иных видов деятельности ГМФО обеспечивает ведение самостоятельного учета, в том числе бухгалтерского (финансового), по видам деятельности.</w:t>
      </w:r>
    </w:p>
    <w:p>
      <w:pPr>
        <w:pStyle w:val="0"/>
        <w:spacing w:before="200" w:lineRule="auto"/>
        <w:ind w:firstLine="540"/>
        <w:jc w:val="both"/>
      </w:pPr>
      <w:r>
        <w:rPr>
          <w:sz w:val="20"/>
        </w:rPr>
        <w:t xml:space="preserve">2.2.3. ГМФО размещает временно свободные денежные средства, относящиеся к собственным средствам (капиталу), номинированные в валюте Российской Федерации, на депозитах и (или) расчетных счетах в кредитных организациях с учетом требований, предусмотренных </w:t>
      </w:r>
      <w:hyperlink w:history="0" w:anchor="P65" w:tooltip="2.2.3.1. ГМФО в целях размещения временно свободных денежных средств, относящихся к собственным средствам (капиталу), на депозитах и (или) расчетных счетах кредитных организаций должна проводить отбор кредитных организаций при условии одновременного соблюдения следующих требований:">
        <w:r>
          <w:rPr>
            <w:sz w:val="20"/>
            <w:color w:val="0000ff"/>
          </w:rPr>
          <w:t xml:space="preserve">подпунктом 2.2.3.1 пункта 2</w:t>
        </w:r>
      </w:hyperlink>
      <w:r>
        <w:rPr>
          <w:sz w:val="20"/>
        </w:rPr>
        <w:t xml:space="preserve"> настоящих Требований.</w:t>
      </w:r>
    </w:p>
    <w:bookmarkStart w:id="65" w:name="P65"/>
    <w:bookmarkEnd w:id="65"/>
    <w:p>
      <w:pPr>
        <w:pStyle w:val="0"/>
        <w:spacing w:before="200" w:lineRule="auto"/>
        <w:ind w:firstLine="540"/>
        <w:jc w:val="both"/>
      </w:pPr>
      <w:r>
        <w:rPr>
          <w:sz w:val="20"/>
        </w:rPr>
        <w:t xml:space="preserve">2.2.3.1. ГМФО в целях размещения временно свободных денежных средств, относящихся к собственным средствам (капиталу), на депозитах и (или) расчетных счетах кредитных организаций должна проводить отбор кредитных организаций при условии одновременного соблюдения следующих требований:</w:t>
      </w:r>
    </w:p>
    <w:p>
      <w:pPr>
        <w:pStyle w:val="0"/>
        <w:spacing w:before="200" w:lineRule="auto"/>
        <w:ind w:firstLine="540"/>
        <w:jc w:val="both"/>
      </w:pPr>
      <w:r>
        <w:rPr>
          <w:sz w:val="20"/>
        </w:rPr>
        <w:t xml:space="preserve">а) наличие у кредитной организации универсальной или базовой лицензии Банка России на осуществление банковских операций;</w:t>
      </w:r>
    </w:p>
    <w:p>
      <w:pPr>
        <w:pStyle w:val="0"/>
        <w:spacing w:before="200" w:lineRule="auto"/>
        <w:ind w:firstLine="540"/>
        <w:jc w:val="both"/>
      </w:pPr>
      <w:r>
        <w:rPr>
          <w:sz w:val="20"/>
        </w:rPr>
        <w:t xml:space="preserve">б) наличие у кредитной организации собственных средств (капитала) в размере не менее 50 млрд рублей, по данным Банка России, публикуемым на официальном сайте Банка России в информационно-телекоммуникационной сети "Интернет" (далее - сеть "Интернет") в соответствии с Федеральным </w:t>
      </w:r>
      <w:hyperlink w:history="0" r:id="rId18" w:tooltip="Федеральный закон от 10.07.2002 N 86-ФЗ (ред. от 23.05.2025) &quot;О Центральном банке Российской Федерации (Банке России)&quot; {КонсультантПлюс}">
        <w:r>
          <w:rPr>
            <w:sz w:val="20"/>
            <w:color w:val="0000ff"/>
          </w:rPr>
          <w:t xml:space="preserve">законом</w:t>
        </w:r>
      </w:hyperlink>
      <w:r>
        <w:rPr>
          <w:sz w:val="20"/>
        </w:rPr>
        <w:t xml:space="preserve"> от 10 июля 2002 г. N 86-ФЗ "О Центральном банке Российской Федерации (Банке России)" (далее - Федеральный закон N 86-ФЗ), или на основании информации, представленной кредитной организацией по запросу ГМФО (в случае приостановления (сокращения объемов) раскрытия данных на официальном сайте Банка России в сети "Интернет");</w:t>
      </w:r>
    </w:p>
    <w:p>
      <w:pPr>
        <w:pStyle w:val="0"/>
        <w:spacing w:before="200" w:lineRule="auto"/>
        <w:ind w:firstLine="540"/>
        <w:jc w:val="both"/>
      </w:pPr>
      <w:r>
        <w:rPr>
          <w:sz w:val="20"/>
        </w:rPr>
        <w:t xml:space="preserve">в)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акционерного общества "Аналитическое Кредитное Рейтинговое Агентство" не ниже уровня "A-(RU)", кредитного рейтингового агентства акционерного общества "Рейтинговое Агентство "Эксперт РА" не ниже уровня "ruA-", кредитного рейтингового агентства общества с ограниченной ответственностью "Национальные Кредитные Рейтинги" не ниже уровня "A-.ru" или кредитного рейтингового агентства общества с ограниченной ответственностью "Национальное Рейтинговое Агентство" не ниже уровня "A-|ru|";</w:t>
      </w:r>
    </w:p>
    <w:p>
      <w:pPr>
        <w:pStyle w:val="0"/>
        <w:spacing w:before="200" w:lineRule="auto"/>
        <w:ind w:firstLine="540"/>
        <w:jc w:val="both"/>
      </w:pPr>
      <w:r>
        <w:rPr>
          <w:sz w:val="20"/>
        </w:rPr>
        <w:t xml:space="preserve">г) срок деятельности кредитной организации с даты ее регистрации составляет не менее 5 лет;</w:t>
      </w:r>
    </w:p>
    <w:p>
      <w:pPr>
        <w:pStyle w:val="0"/>
        <w:spacing w:before="200" w:lineRule="auto"/>
        <w:ind w:firstLine="540"/>
        <w:jc w:val="both"/>
      </w:pPr>
      <w:r>
        <w:rPr>
          <w:sz w:val="20"/>
        </w:rPr>
        <w:t xml:space="preserve">д)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Федеральным </w:t>
      </w:r>
      <w:hyperlink w:history="0" r:id="rId19" w:tooltip="Федеральный закон от 10.07.2002 N 86-ФЗ (ред. от 23.05.2025) &quot;О Центральном банке Российской Федерации (Банке России)&quot; {КонсультантПлюс}">
        <w:r>
          <w:rPr>
            <w:sz w:val="20"/>
            <w:color w:val="0000ff"/>
          </w:rPr>
          <w:t xml:space="preserve">законом</w:t>
        </w:r>
      </w:hyperlink>
      <w:r>
        <w:rPr>
          <w:sz w:val="20"/>
        </w:rPr>
        <w:t xml:space="preserve"> N 86-ФЗ;</w:t>
      </w:r>
    </w:p>
    <w:p>
      <w:pPr>
        <w:pStyle w:val="0"/>
        <w:spacing w:before="200" w:lineRule="auto"/>
        <w:ind w:firstLine="540"/>
        <w:jc w:val="both"/>
      </w:pPr>
      <w:r>
        <w:rPr>
          <w:sz w:val="20"/>
        </w:rPr>
        <w:t xml:space="preserve">е) отсутствие у кредитной организации в течение последних 12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ГМФО;</w:t>
      </w:r>
    </w:p>
    <w:p>
      <w:pPr>
        <w:pStyle w:val="0"/>
        <w:spacing w:before="200" w:lineRule="auto"/>
        <w:ind w:firstLine="540"/>
        <w:jc w:val="both"/>
      </w:pPr>
      <w:r>
        <w:rPr>
          <w:sz w:val="20"/>
        </w:rPr>
        <w:t xml:space="preserve">ж) участие кредитной организации в системе обязательного страхования вкладов в банках Российской Федерации в соответствии с Федеральным </w:t>
      </w:r>
      <w:hyperlink w:history="0" r:id="rId20" w:tooltip="Федеральный закон от 23.12.2003 N 177-ФЗ (ред. от 28.12.2024) &quot;О страховании вкладов в банках Российской Федерации&quot; {КонсультантПлюс}">
        <w:r>
          <w:rPr>
            <w:sz w:val="20"/>
            <w:color w:val="0000ff"/>
          </w:rPr>
          <w:t xml:space="preserve">законом</w:t>
        </w:r>
      </w:hyperlink>
      <w:r>
        <w:rPr>
          <w:sz w:val="20"/>
        </w:rPr>
        <w:t xml:space="preserve"> от 23 декабря 2003 г. N 177-ФЗ "О страховании вкладов в банках Российской Федерации".</w:t>
      </w:r>
    </w:p>
    <w:bookmarkStart w:id="73" w:name="P73"/>
    <w:bookmarkEnd w:id="73"/>
    <w:p>
      <w:pPr>
        <w:pStyle w:val="0"/>
        <w:spacing w:before="200" w:lineRule="auto"/>
        <w:ind w:firstLine="540"/>
        <w:jc w:val="both"/>
      </w:pPr>
      <w:r>
        <w:rPr>
          <w:sz w:val="20"/>
        </w:rPr>
        <w:t xml:space="preserve">2.2.4. Доход ГМФО, получаемый от размещения средств, указанных в </w:t>
      </w:r>
      <w:hyperlink w:history="0" w:anchor="P57" w:tooltip="2.2. ГМФО должна использовать собственные средства (капитал), включающие средства, полученные на осуществление микрофинансовой деятельности из бюджетов всех уровней, финансовый результат от средств, полученных на осуществление микрофинансовой деятельности из федерального бюджета и регионального бюджета на условиях софинансирования федерального бюджета, иные поступления на осуществление микрофинансовой деятельности, исключительно в целях осуществления микрофинансовой деятельности.">
        <w:r>
          <w:rPr>
            <w:sz w:val="20"/>
            <w:color w:val="0000ff"/>
          </w:rPr>
          <w:t xml:space="preserve">подпункте 2.2 пункта 2</w:t>
        </w:r>
      </w:hyperlink>
      <w:r>
        <w:rPr>
          <w:sz w:val="20"/>
        </w:rPr>
        <w:t xml:space="preserve"> настоящих Требований, за исключением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на депозитах и (или) расчетных счетах кредитных организаций, должен направляться на пополнение собственных средств (капитала), на покрытие расходов по формированию резервов, убытков от потерь по микрозаймам, финансовых и операционных расходов по микрофинансовой деятельности.</w:t>
      </w:r>
    </w:p>
    <w:bookmarkStart w:id="74" w:name="P74"/>
    <w:bookmarkEnd w:id="74"/>
    <w:p>
      <w:pPr>
        <w:pStyle w:val="0"/>
        <w:spacing w:before="200" w:lineRule="auto"/>
        <w:ind w:firstLine="540"/>
        <w:jc w:val="both"/>
      </w:pPr>
      <w:r>
        <w:rPr>
          <w:sz w:val="20"/>
        </w:rPr>
        <w:t xml:space="preserve">Доход ГМФО, получаемый от размещения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 на депозитах и (или) расчетных счетах кредитных организаций, направляется на цели реализации региональных проектов, обеспечивающих достижение показателей и результатов федерального проекта, определяемые по решению учредителя ГМФО по итогам отчетного периода (календарного года), при условии соблюдения ГМФО требования, указанного в </w:t>
      </w:r>
      <w:hyperlink w:history="0" w:anchor="P56" w:tooltip="ГМФО создается и (или) осуществляет деятельность как отдельное от фонда содействия кредитованию (гарантийного фонда, фонда поручительств) (далее - РГО) юридическое лицо.">
        <w:r>
          <w:rPr>
            <w:sz w:val="20"/>
            <w:color w:val="0000ff"/>
          </w:rPr>
          <w:t xml:space="preserve">абзаце втором подпункта 2.1 пункта 2</w:t>
        </w:r>
      </w:hyperlink>
      <w:r>
        <w:rPr>
          <w:sz w:val="20"/>
        </w:rPr>
        <w:t xml:space="preserve"> настоящих Требований, значений показателей, указанных в </w:t>
      </w:r>
      <w:hyperlink w:history="0" w:anchor="P177" w:tooltip="2.13.3. Показатель &quot;Эффективность размещения средств&quot; (ЭРс) ГМФО в микрозаймы должен быть не менее 85% и рассчитывается по следующей формуле:">
        <w:r>
          <w:rPr>
            <w:sz w:val="20"/>
            <w:color w:val="0000ff"/>
          </w:rPr>
          <w:t xml:space="preserve">подпунктах 2.13.3</w:t>
        </w:r>
      </w:hyperlink>
      <w:r>
        <w:rPr>
          <w:sz w:val="20"/>
        </w:rPr>
        <w:t xml:space="preserve"> и </w:t>
      </w:r>
      <w:hyperlink w:history="0" w:anchor="P200" w:tooltip="2.13.6. Показатель &quot;Риск портфеля &gt; 30 дней&quot; ГМФО не должен превышать 12% и рассчитывается по следующей формуле:">
        <w:r>
          <w:rPr>
            <w:sz w:val="20"/>
            <w:color w:val="0000ff"/>
          </w:rPr>
          <w:t xml:space="preserve">2.13.6 пункта 2</w:t>
        </w:r>
      </w:hyperlink>
      <w:r>
        <w:rPr>
          <w:sz w:val="20"/>
        </w:rPr>
        <w:t xml:space="preserve"> настоящих Требований, и наличия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w:t>
      </w:r>
    </w:p>
    <w:p>
      <w:pPr>
        <w:pStyle w:val="0"/>
        <w:spacing w:before="200" w:lineRule="auto"/>
        <w:ind w:firstLine="540"/>
        <w:jc w:val="both"/>
      </w:pPr>
      <w:r>
        <w:rPr>
          <w:sz w:val="20"/>
        </w:rPr>
        <w:t xml:space="preserve">В случае несоблюдения ГМФО требования, указанного в </w:t>
      </w:r>
      <w:hyperlink w:history="0" w:anchor="P56" w:tooltip="ГМФО создается и (или) осуществляет деятельность как отдельное от фонда содействия кредитованию (гарантийного фонда, фонда поручительств) (далее - РГО) юридическое лицо.">
        <w:r>
          <w:rPr>
            <w:sz w:val="20"/>
            <w:color w:val="0000ff"/>
          </w:rPr>
          <w:t xml:space="preserve">абзаце втором подпункта 2.1 пункта 2</w:t>
        </w:r>
      </w:hyperlink>
      <w:r>
        <w:rPr>
          <w:sz w:val="20"/>
        </w:rPr>
        <w:t xml:space="preserve"> настоящих Требований, значений показателей, указанных в </w:t>
      </w:r>
      <w:hyperlink w:history="0" w:anchor="P177" w:tooltip="2.13.3. Показатель &quot;Эффективность размещения средств&quot; (ЭРс) ГМФО в микрозаймы должен быть не менее 85% и рассчитывается по следующей формуле:">
        <w:r>
          <w:rPr>
            <w:sz w:val="20"/>
            <w:color w:val="0000ff"/>
          </w:rPr>
          <w:t xml:space="preserve">подпунктах 2.13.3</w:t>
        </w:r>
      </w:hyperlink>
      <w:r>
        <w:rPr>
          <w:sz w:val="20"/>
        </w:rPr>
        <w:t xml:space="preserve"> и </w:t>
      </w:r>
      <w:hyperlink w:history="0" w:anchor="P200" w:tooltip="2.13.6. Показатель &quot;Риск портфеля &gt; 30 дней&quot; ГМФО не должен превышать 12% и рассчитывается по следующей формуле:">
        <w:r>
          <w:rPr>
            <w:sz w:val="20"/>
            <w:color w:val="0000ff"/>
          </w:rPr>
          <w:t xml:space="preserve">2.13.6 пункта 2</w:t>
        </w:r>
      </w:hyperlink>
      <w:r>
        <w:rPr>
          <w:sz w:val="20"/>
        </w:rPr>
        <w:t xml:space="preserve"> настоящих Требований, и (или) отсутствия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 доход, указанный в </w:t>
      </w:r>
      <w:hyperlink w:history="0" w:anchor="P74" w:tooltip="Доход ГМФО, получаемый от размещения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 на депозитах и (или) расчетных счетах кредитных организаций, направляется на цели реализации региональных проектов, обеспечивающих достижение показателей и результатов федерального проекта, определяемые по решению учредителя ГМФО по итогам отчетного периода (календарного года), при условии соблюдения ГМФО требо...">
        <w:r>
          <w:rPr>
            <w:sz w:val="20"/>
            <w:color w:val="0000ff"/>
          </w:rPr>
          <w:t xml:space="preserve">абзаце втором подпункта 2.2.4 пункта 2</w:t>
        </w:r>
      </w:hyperlink>
      <w:r>
        <w:rPr>
          <w:sz w:val="20"/>
        </w:rPr>
        <w:t xml:space="preserve"> настоящих Требований, направляется на цели, указанные в </w:t>
      </w:r>
      <w:hyperlink w:history="0" w:anchor="P73" w:tooltip="2.2.4. Доход ГМФО, получаемый от размещения средств, указанных в подпункте 2.2 пункта 2 настоящих Требований, за исключением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на депозитах и (или) расчетных счетах кредитных организаций, должен направляться на пополнение собственных средств (капитала), на покрытие расходов по формированию резервов, убытков от потерь по микрозаймам, финансовых и опера...">
        <w:r>
          <w:rPr>
            <w:sz w:val="20"/>
            <w:color w:val="0000ff"/>
          </w:rPr>
          <w:t xml:space="preserve">абзаце первом подпункта 2.2.4 пункта 2</w:t>
        </w:r>
      </w:hyperlink>
      <w:r>
        <w:rPr>
          <w:sz w:val="20"/>
        </w:rPr>
        <w:t xml:space="preserve"> настоящих Требований.</w:t>
      </w:r>
    </w:p>
    <w:p>
      <w:pPr>
        <w:pStyle w:val="0"/>
        <w:spacing w:before="200" w:lineRule="auto"/>
        <w:ind w:firstLine="540"/>
        <w:jc w:val="both"/>
      </w:pPr>
      <w:r>
        <w:rPr>
          <w:sz w:val="20"/>
        </w:rPr>
        <w:t xml:space="preserve">2.3. ГМФО представляют в автоматизированную информационную систему "Мониторинг МСП" информацию о своей текущей деятельности в целях:</w:t>
      </w:r>
    </w:p>
    <w:bookmarkStart w:id="77" w:name="P77"/>
    <w:bookmarkEnd w:id="77"/>
    <w:p>
      <w:pPr>
        <w:pStyle w:val="0"/>
        <w:spacing w:before="200" w:lineRule="auto"/>
        <w:ind w:firstLine="540"/>
        <w:jc w:val="both"/>
      </w:pPr>
      <w:r>
        <w:rPr>
          <w:sz w:val="20"/>
        </w:rPr>
        <w:t xml:space="preserve">а) проведения ежегодного ранжирования акционерным обществом "Федеральная корпорация по развитию малого и среднего предпринимательства" (далее - Корпорация МСП) с присвоением ранга, характеризующего степень финансовой устойчивости и эффективность деятельности ГМФО как участника национальной гарантийной системы, а также ежегодной оценки Корпорации МСП соблюдения ГМФО требований, указанных в </w:t>
      </w:r>
      <w:hyperlink w:history="0" r:id="rId2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статье 15.4</w:t>
        </w:r>
      </w:hyperlink>
      <w:r>
        <w:rPr>
          <w:sz w:val="20"/>
        </w:rPr>
        <w:t xml:space="preserve"> Федерального закона N 209-ФЗ (ежегодно);</w:t>
      </w:r>
    </w:p>
    <w:p>
      <w:pPr>
        <w:pStyle w:val="0"/>
        <w:spacing w:before="200" w:lineRule="auto"/>
        <w:ind w:firstLine="540"/>
        <w:jc w:val="both"/>
      </w:pPr>
      <w:r>
        <w:rPr>
          <w:sz w:val="20"/>
        </w:rPr>
        <w:t xml:space="preserve">б) осуществления Минэкономразвития России мониторинга деятельности ГМФО согласно </w:t>
      </w:r>
      <w:hyperlink w:history="0" r:id="rId22" w:tooltip="Приказ Минэкономразвития России от 09.11.2022 N 609 (ред. от 08.04.2024)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 {КонсультантПлюс}">
        <w:r>
          <w:rPr>
            <w:sz w:val="20"/>
            <w:color w:val="0000ff"/>
          </w:rPr>
          <w:t xml:space="preserve">форме N 6</w:t>
        </w:r>
      </w:hyperlink>
      <w:r>
        <w:rPr>
          <w:sz w:val="20"/>
        </w:rPr>
        <w:t xml:space="preserve">, приведенной в приложении к Порядку, срокам и формам представления информации, предусмотренной пунктом 5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утвержденных постановлением Правительства Российской Федерации от 23 декабря 2015 г. N 1410, а также составу такой информации, утвержденным приказом Минэкономразвития России от 9 ноября 2022 г. N 609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Зарегистрирован Минюстом России 2 февраля 2023 г., регистрационный N 72215, с изменениями, внесенными приказом Минэкономразвития России от 8 апреля 2024 г. N 207 (зарегистрирован Минюстом России 26 июля 2024 г., регистрационный N 78933).</w:t>
      </w:r>
    </w:p>
    <w:p>
      <w:pPr>
        <w:pStyle w:val="0"/>
        <w:ind w:firstLine="540"/>
        <w:jc w:val="both"/>
      </w:pPr>
      <w:r>
        <w:rPr>
          <w:sz w:val="20"/>
        </w:rPr>
      </w:r>
    </w:p>
    <w:p>
      <w:pPr>
        <w:pStyle w:val="0"/>
        <w:ind w:firstLine="540"/>
        <w:jc w:val="both"/>
      </w:pPr>
      <w:r>
        <w:rPr>
          <w:sz w:val="20"/>
        </w:rPr>
        <w:t xml:space="preserve">2.4. ГМФО проводит оценку кредитоспособности, оценку правоспособности и проверку деловой репутации субъектов МСП и организаций, образующих инфраструктуру поддержки субъектов МСП, а также оценку кредитного риска возникновения у ГМФО потерь (убытков) вследствие неисполнения, несвоевременного либо неполного исполнения субъектами МСП, организациями, образующими инфраструктуру поддержки субъектов МСП, обязательств по предоставленным микрозаймам (далее - кредитный риск).</w:t>
      </w:r>
    </w:p>
    <w:p>
      <w:pPr>
        <w:pStyle w:val="0"/>
        <w:spacing w:before="200" w:lineRule="auto"/>
        <w:ind w:firstLine="540"/>
        <w:jc w:val="both"/>
      </w:pPr>
      <w:r>
        <w:rPr>
          <w:sz w:val="20"/>
        </w:rPr>
        <w:t xml:space="preserve">2.4.1. Подразделение (сотрудник), осуществляющее в ГМФО анализ кредитных рисков, действует независимо от деятельности подразделений, осуществляющих операции, подверженные риску, и их учет, и находится в непосредственном подчинении руководителя ГМФО или его заместителя, в должностные обязанности которого не входят контроль и руководство подразделениями ГМФО, осуществляющими операции, подверженные кредитному риску, и их учет.</w:t>
      </w:r>
    </w:p>
    <w:p>
      <w:pPr>
        <w:pStyle w:val="0"/>
        <w:spacing w:before="200" w:lineRule="auto"/>
        <w:ind w:firstLine="540"/>
        <w:jc w:val="both"/>
      </w:pPr>
      <w:r>
        <w:rPr>
          <w:sz w:val="20"/>
        </w:rPr>
        <w:t xml:space="preserve">Обязанность по оценке кредитных рисков в ГМФО с численностью сотрудников менее 8 человек может быть возложена на руководителя ГМФО или его заместителя.</w:t>
      </w:r>
    </w:p>
    <w:p>
      <w:pPr>
        <w:pStyle w:val="0"/>
        <w:spacing w:before="200" w:lineRule="auto"/>
        <w:ind w:firstLine="540"/>
        <w:jc w:val="both"/>
      </w:pPr>
      <w:r>
        <w:rPr>
          <w:sz w:val="20"/>
        </w:rPr>
        <w:t xml:space="preserve">2.5. Сроки рассмотрения ГМФО заявки на предоставление микрозаймов при условии комплектности документов, определенной высшим органом управления ГМФО или иным уполномоченным органом ГМФО, исчисляются со дня поступления заявки на предоставление микрозаймов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заявки, в случае поступления заявки в выходной или нерабочий праздничный день - с первого рабочего дня после дня поступления заявки и составляют:</w:t>
      </w:r>
    </w:p>
    <w:p>
      <w:pPr>
        <w:pStyle w:val="0"/>
        <w:spacing w:before="200" w:lineRule="auto"/>
        <w:ind w:firstLine="540"/>
        <w:jc w:val="both"/>
      </w:pPr>
      <w:r>
        <w:rPr>
          <w:sz w:val="20"/>
        </w:rPr>
        <w:t xml:space="preserve">а) 3 рабочих дня для заявок на предоставление микрозаймов, по которым отсутствует залог, поручительство и (или) гарантия РГО;</w:t>
      </w:r>
    </w:p>
    <w:p>
      <w:pPr>
        <w:pStyle w:val="0"/>
        <w:spacing w:before="200" w:lineRule="auto"/>
        <w:ind w:firstLine="540"/>
        <w:jc w:val="both"/>
      </w:pPr>
      <w:r>
        <w:rPr>
          <w:sz w:val="20"/>
        </w:rPr>
        <w:t xml:space="preserve">б) 10 рабочих дней для заявок на предоставление микрозаймов, по которым предусмотрен залог, поручительство и (или) гарантия РГО. Срок рассмотрения заявки может быть увеличен до 15 рабочих дней в случае нахождения залога в труднодоступных или отдаленных местностях.</w:t>
      </w:r>
    </w:p>
    <w:p>
      <w:pPr>
        <w:pStyle w:val="0"/>
        <w:spacing w:before="200" w:lineRule="auto"/>
        <w:ind w:firstLine="540"/>
        <w:jc w:val="both"/>
      </w:pPr>
      <w:r>
        <w:rPr>
          <w:sz w:val="20"/>
        </w:rPr>
        <w:t xml:space="preserve">2.5.1. ГМФО по результатам рассмотрения заявки на предоставление микрозаймов проводит работу по информированию субъекта МСП и (или) организации, образующей инфраструктуру поддержки субъектов МСП о принятом решении по заявке на предоставление микрозаймов, в том числе о причинах отказа в случае принятия решения об отказе в предоставлении микрозайма, в срок не позднее 3 рабочих дней после дня принятия такого решения.</w:t>
      </w:r>
    </w:p>
    <w:p>
      <w:pPr>
        <w:pStyle w:val="0"/>
        <w:spacing w:before="200" w:lineRule="auto"/>
        <w:ind w:firstLine="540"/>
        <w:jc w:val="both"/>
      </w:pPr>
      <w:r>
        <w:rPr>
          <w:sz w:val="20"/>
        </w:rPr>
        <w:t xml:space="preserve">2.6. Максимальный размер микрозайма не должен превышать на 1 субъекта МСП, организацию, образующую инфраструктуру поддержки субъектов МСП, - 5 млн рублей.</w:t>
      </w:r>
    </w:p>
    <w:p>
      <w:pPr>
        <w:pStyle w:val="0"/>
        <w:spacing w:before="200" w:lineRule="auto"/>
        <w:ind w:firstLine="540"/>
        <w:jc w:val="both"/>
      </w:pPr>
      <w:r>
        <w:rPr>
          <w:sz w:val="20"/>
        </w:rPr>
        <w:t xml:space="preserve">2.7. Максимальный срок предоставления микрозайма не должен превышать 3 года, за исключением случаев, предусмотренных </w:t>
      </w:r>
      <w:hyperlink w:history="0" w:anchor="P91" w:tooltip="2.7.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и (или) направленных на отражение или предотвращение ведения боевых действий против Российской Федерации и устранением угроз жизни и здоровью людей, максимальный срок пр...">
        <w:r>
          <w:rPr>
            <w:sz w:val="20"/>
            <w:color w:val="0000ff"/>
          </w:rPr>
          <w:t xml:space="preserve">подпунктами 2.7.1</w:t>
        </w:r>
      </w:hyperlink>
      <w:r>
        <w:rPr>
          <w:sz w:val="20"/>
        </w:rPr>
        <w:t xml:space="preserve"> - </w:t>
      </w:r>
      <w:hyperlink w:history="0" w:anchor="P95" w:tooltip="2.7.3. При введении режимов, указанных в подпункте 2.7.1 пункта 2 настоящих Требований, ГМФО по согласованию с учредителем такой ГМФО устанавливает упрощенные условия предоставления микрозайма, в том числе сокращенные сроки рассмотрения заявок на предоставление микрозайма, более низкие процентные ставки по микрозаймам, отсутствие процедур проверки задолженности субъектов МСП перед бюджетами бюджетной системы Российской Федерации, а также категории субъектов МСП, в отношении которых применяются такие усло...">
        <w:r>
          <w:rPr>
            <w:sz w:val="20"/>
            <w:color w:val="0000ff"/>
          </w:rPr>
          <w:t xml:space="preserve">2.7.3 пункта 2</w:t>
        </w:r>
      </w:hyperlink>
      <w:r>
        <w:rPr>
          <w:sz w:val="20"/>
        </w:rPr>
        <w:t xml:space="preserve"> настоящих Требований.</w:t>
      </w:r>
    </w:p>
    <w:bookmarkStart w:id="91" w:name="P91"/>
    <w:bookmarkEnd w:id="91"/>
    <w:p>
      <w:pPr>
        <w:pStyle w:val="0"/>
        <w:spacing w:before="200" w:lineRule="auto"/>
        <w:ind w:firstLine="540"/>
        <w:jc w:val="both"/>
      </w:pPr>
      <w:r>
        <w:rPr>
          <w:sz w:val="20"/>
        </w:rPr>
        <w:t xml:space="preserve">2.7.1.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и (или) направленных на отражение или предотвращение ведения боевых действий против Российской Федерации и устранением угроз жизни и здоровью людей, максимальный срок предоставления микрозайма для субъектов МСП, осуществляющих деятельность на таких территориях и признанных учредителем ГМФО пострадавшими, по действующим на дату введения одного из указанных режимов и предоставляемым в период действия одного из указанных режимов микрозаймам может быть увеличен и не должен превышать 7 лет по заявлению заемщика.</w:t>
      </w:r>
    </w:p>
    <w:p>
      <w:pPr>
        <w:pStyle w:val="0"/>
        <w:spacing w:before="200" w:lineRule="auto"/>
        <w:ind w:firstLine="540"/>
        <w:jc w:val="both"/>
      </w:pPr>
      <w:r>
        <w:rPr>
          <w:sz w:val="20"/>
        </w:rPr>
        <w:t xml:space="preserve">2.7.2. В случае призыва заемщика на военную службу по мобилизации в Вооруженные Силы Российской Федерации в соответствии с </w:t>
      </w:r>
      <w:hyperlink w:history="0" r:id="rId23"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сентября 2022 г. N 647 "Об объявлении частичной мобилизации в Российской Федерации" (далее - военная служба по мобилизации) или прохождения заемщиком военной службы по контракту в Вооруженных Силах Российской Федерации, заключенному с 2022 года (далее соответственно - прохождение военной службы по контракту, контракт о прохождении военной службы), максимальный срок предоставления микрозайма для таких заемщиков может быть увеличен на срок прохождения военной службы по мобилизации или прохождения военной службы по контракту:</w:t>
      </w:r>
    </w:p>
    <w:p>
      <w:pPr>
        <w:pStyle w:val="0"/>
        <w:spacing w:before="200" w:lineRule="auto"/>
        <w:ind w:firstLine="540"/>
        <w:jc w:val="both"/>
      </w:pPr>
      <w:r>
        <w:rPr>
          <w:sz w:val="20"/>
        </w:rPr>
        <w:t xml:space="preserve">а) по микрозаймам, действующим на дату призыва заемщика на военную службу по мобилизации;</w:t>
      </w:r>
    </w:p>
    <w:p>
      <w:pPr>
        <w:pStyle w:val="0"/>
        <w:spacing w:before="200" w:lineRule="auto"/>
        <w:ind w:firstLine="540"/>
        <w:jc w:val="both"/>
      </w:pPr>
      <w:r>
        <w:rPr>
          <w:sz w:val="20"/>
        </w:rPr>
        <w:t xml:space="preserve">б) по микрозаймам, действующим на дату подписания заемщиком контракта о прохождении военной службы.</w:t>
      </w:r>
    </w:p>
    <w:bookmarkStart w:id="95" w:name="P95"/>
    <w:bookmarkEnd w:id="95"/>
    <w:p>
      <w:pPr>
        <w:pStyle w:val="0"/>
        <w:spacing w:before="200" w:lineRule="auto"/>
        <w:ind w:firstLine="540"/>
        <w:jc w:val="both"/>
      </w:pPr>
      <w:r>
        <w:rPr>
          <w:sz w:val="20"/>
        </w:rPr>
        <w:t xml:space="preserve">2.7.3. При введении режимов, указанных в </w:t>
      </w:r>
      <w:hyperlink w:history="0" w:anchor="P91" w:tooltip="2.7.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и (или) направленных на отражение или предотвращение ведения боевых действий против Российской Федерации и устранением угроз жизни и здоровью людей, максимальный срок пр...">
        <w:r>
          <w:rPr>
            <w:sz w:val="20"/>
            <w:color w:val="0000ff"/>
          </w:rPr>
          <w:t xml:space="preserve">подпункте 2.7.1 пункта 2</w:t>
        </w:r>
      </w:hyperlink>
      <w:r>
        <w:rPr>
          <w:sz w:val="20"/>
        </w:rPr>
        <w:t xml:space="preserve"> настоящих Требований, ГМФО по согласованию с учредителем такой ГМФО устанавливает упрощенные условия предоставления микрозайма, в том числе сокращенные сроки рассмотрения заявок на предоставление микрозайма, более низкие процентные ставки по микрозаймам, отсутствие процедур проверки задолженности субъектов МСП перед бюджетами бюджетной системы Российской Федерации, а также категории субъектов МСП, в отношении которых применяются такие условия.</w:t>
      </w:r>
    </w:p>
    <w:p>
      <w:pPr>
        <w:pStyle w:val="0"/>
        <w:spacing w:before="200" w:lineRule="auto"/>
        <w:ind w:firstLine="540"/>
        <w:jc w:val="both"/>
      </w:pPr>
      <w:r>
        <w:rPr>
          <w:sz w:val="20"/>
        </w:rPr>
        <w:t xml:space="preserve">2.8. В структуре совокупного денежного объема предоставленных микрозаймов за отчетный календарный год:</w:t>
      </w:r>
    </w:p>
    <w:p>
      <w:pPr>
        <w:pStyle w:val="0"/>
        <w:spacing w:before="200" w:lineRule="auto"/>
        <w:ind w:firstLine="540"/>
        <w:jc w:val="both"/>
      </w:pPr>
      <w:r>
        <w:rPr>
          <w:sz w:val="20"/>
        </w:rPr>
        <w:t xml:space="preserve">а) доля микрозаймов, предоставленных вновь зарегистрированным и действующим менее 2 лет субъектам МСП (далее - начинающие субъекты МСП), должна составлять не менее 10 процентов;</w:t>
      </w:r>
    </w:p>
    <w:p>
      <w:pPr>
        <w:pStyle w:val="0"/>
        <w:spacing w:before="200" w:lineRule="auto"/>
        <w:ind w:firstLine="540"/>
        <w:jc w:val="both"/>
      </w:pPr>
      <w:r>
        <w:rPr>
          <w:sz w:val="20"/>
        </w:rPr>
        <w:t xml:space="preserve">б) доля микрозаймов, предоставленных субъектам МСП и не обеспеченных залогом, должна составлять не менее 5 процентов.</w:t>
      </w:r>
    </w:p>
    <w:p>
      <w:pPr>
        <w:pStyle w:val="0"/>
        <w:spacing w:before="200" w:lineRule="auto"/>
        <w:ind w:firstLine="540"/>
        <w:jc w:val="both"/>
      </w:pPr>
      <w:r>
        <w:rPr>
          <w:sz w:val="20"/>
        </w:rPr>
        <w:t xml:space="preserve">2.9. Процентная ставка за пользование микрозаймом для заемщиков - субъектов МСП, организаций, образующих инфраструктуру поддержки субъектов МСП, устанавливается на дату заключения договора микрозайма, предоставленного за счет собственных средств (капитала) ГМФО.</w:t>
      </w:r>
    </w:p>
    <w:p>
      <w:pPr>
        <w:pStyle w:val="0"/>
        <w:spacing w:before="200" w:lineRule="auto"/>
        <w:ind w:firstLine="540"/>
        <w:jc w:val="both"/>
      </w:pPr>
      <w:r>
        <w:rPr>
          <w:sz w:val="20"/>
        </w:rPr>
        <w:t xml:space="preserve">В зависимости от категории заемщиков, которым предоставляется микрозайм, применяется дифференцированный подход к определению процентной ставки за пользование микрозаймом в соответствии с </w:t>
      </w:r>
      <w:hyperlink w:history="0" w:anchor="P101" w:tooltip="2.9.1. При значении ключевой ставки Банка России более 16% годовых процентная ставка при наличии залогового обеспечения и (или) поручительства (гарантии) РГО составляет:">
        <w:r>
          <w:rPr>
            <w:sz w:val="20"/>
            <w:color w:val="0000ff"/>
          </w:rPr>
          <w:t xml:space="preserve">подпунктами 2.9.1</w:t>
        </w:r>
      </w:hyperlink>
      <w:r>
        <w:rPr>
          <w:sz w:val="20"/>
        </w:rPr>
        <w:t xml:space="preserve"> - </w:t>
      </w:r>
      <w:hyperlink w:history="0" w:anchor="P110" w:tooltip="2.9.2.1. При значении ключевой ставки Банка России, равном 16% годовых и менее, процентная ставка при отсутствии залогового обеспечения и (или) поручительства (гарантии) РГО составляет:">
        <w:r>
          <w:rPr>
            <w:sz w:val="20"/>
            <w:color w:val="0000ff"/>
          </w:rPr>
          <w:t xml:space="preserve">2.9.2.1 пункта 2</w:t>
        </w:r>
      </w:hyperlink>
      <w:r>
        <w:rPr>
          <w:sz w:val="20"/>
        </w:rPr>
        <w:t xml:space="preserve"> настоящих Требований.</w:t>
      </w:r>
    </w:p>
    <w:bookmarkStart w:id="101" w:name="P101"/>
    <w:bookmarkEnd w:id="101"/>
    <w:p>
      <w:pPr>
        <w:pStyle w:val="0"/>
        <w:spacing w:before="200" w:lineRule="auto"/>
        <w:ind w:firstLine="540"/>
        <w:jc w:val="both"/>
      </w:pPr>
      <w:r>
        <w:rPr>
          <w:sz w:val="20"/>
        </w:rPr>
        <w:t xml:space="preserve">2.9.1. При значении ключевой ставки Банка России более 16% годовых процентная ставка при наличии залогового обеспечения и (или) поручительства (гарантии) РГО составляет:</w:t>
      </w:r>
    </w:p>
    <w:bookmarkStart w:id="102" w:name="P102"/>
    <w:bookmarkEnd w:id="102"/>
    <w:p>
      <w:pPr>
        <w:pStyle w:val="0"/>
        <w:spacing w:before="200" w:lineRule="auto"/>
        <w:ind w:firstLine="540"/>
        <w:jc w:val="both"/>
      </w:pPr>
      <w:r>
        <w:rPr>
          <w:sz w:val="20"/>
        </w:rPr>
        <w:t xml:space="preserve">а) до 1/2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0"/>
            <w:color w:val="0000ff"/>
          </w:rPr>
          <w:t xml:space="preserve">подпункте 2.9.3 пункта 2</w:t>
        </w:r>
      </w:hyperlink>
      <w:r>
        <w:rPr>
          <w:sz w:val="20"/>
        </w:rPr>
        <w:t xml:space="preserve"> настоящих Требований;</w:t>
      </w:r>
    </w:p>
    <w:p>
      <w:pPr>
        <w:pStyle w:val="0"/>
        <w:spacing w:before="200" w:lineRule="auto"/>
        <w:ind w:firstLine="540"/>
        <w:jc w:val="both"/>
      </w:pPr>
      <w:r>
        <w:rPr>
          <w:sz w:val="20"/>
        </w:rPr>
        <w:t xml:space="preserve">б) от 1/2 до однократного размера ключевой ставки Банка России, установленной на дату заключения договора микрозайма с субъектом МСП, не указанным в </w:t>
      </w:r>
      <w:hyperlink w:history="0" w:anchor="P102" w:tooltip="а) до 1/2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0"/>
            <w:color w:val="0000ff"/>
          </w:rPr>
          <w:t xml:space="preserve">подпункте "а" подпункта 2.9.1 пункта 2</w:t>
        </w:r>
      </w:hyperlink>
      <w:r>
        <w:rPr>
          <w:sz w:val="20"/>
        </w:rPr>
        <w:t xml:space="preserve"> настоящих Требований, организацией, образующей инфраструктуру поддержки субъектов МСП.</w:t>
      </w:r>
    </w:p>
    <w:p>
      <w:pPr>
        <w:pStyle w:val="0"/>
        <w:spacing w:before="200" w:lineRule="auto"/>
        <w:ind w:firstLine="540"/>
        <w:jc w:val="both"/>
      </w:pPr>
      <w:r>
        <w:rPr>
          <w:sz w:val="20"/>
        </w:rPr>
        <w:t xml:space="preserve">2.9.1.1. При значении ключевой ставки Банка России более 16% годовых процентная ставка при отсутствии залогового обеспечения и (или) поручительства (гарантии) РГО составляет:</w:t>
      </w:r>
    </w:p>
    <w:p>
      <w:pPr>
        <w:pStyle w:val="0"/>
        <w:spacing w:before="200" w:lineRule="auto"/>
        <w:ind w:firstLine="540"/>
        <w:jc w:val="both"/>
      </w:pPr>
      <w:r>
        <w:rPr>
          <w:sz w:val="20"/>
        </w:rPr>
        <w:t xml:space="preserve">а) от 1/2 до 3/4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0"/>
            <w:color w:val="0000ff"/>
          </w:rPr>
          <w:t xml:space="preserve">подпункте 2.9.3 пункта 2</w:t>
        </w:r>
      </w:hyperlink>
      <w:r>
        <w:rPr>
          <w:sz w:val="20"/>
        </w:rPr>
        <w:t xml:space="preserve"> настоящих Требований;</w:t>
      </w:r>
    </w:p>
    <w:p>
      <w:pPr>
        <w:pStyle w:val="0"/>
        <w:spacing w:before="200" w:lineRule="auto"/>
        <w:ind w:firstLine="540"/>
        <w:jc w:val="both"/>
      </w:pPr>
      <w:r>
        <w:rPr>
          <w:sz w:val="20"/>
        </w:rPr>
        <w:t xml:space="preserve">б) от 3/4 до двукратного размера ключевой ставки Банка России, установленной на дату заключения договора микрозайма с субъектом МСП, не указанным в </w:t>
      </w:r>
      <w:hyperlink w:history="0" w:anchor="P102" w:tooltip="а) до 1/2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0"/>
            <w:color w:val="0000ff"/>
          </w:rPr>
          <w:t xml:space="preserve">подпункте "а" подпункта 2.9.1.1 пункта 2</w:t>
        </w:r>
      </w:hyperlink>
      <w:r>
        <w:rPr>
          <w:sz w:val="20"/>
        </w:rPr>
        <w:t xml:space="preserve"> настоящих Требований, организацией, образующей инфраструктуру поддержки субъектов МСП.</w:t>
      </w:r>
    </w:p>
    <w:p>
      <w:pPr>
        <w:pStyle w:val="0"/>
        <w:spacing w:before="200" w:lineRule="auto"/>
        <w:ind w:firstLine="540"/>
        <w:jc w:val="both"/>
      </w:pPr>
      <w:r>
        <w:rPr>
          <w:sz w:val="20"/>
        </w:rPr>
        <w:t xml:space="preserve">2.9.2. При значении ключевой ставки Банка России, равном 16% годовых и менее, процентная ставка при наличии залогового обеспечения и (или) поручительства (гарантии) РГО составляет:</w:t>
      </w:r>
    </w:p>
    <w:bookmarkStart w:id="108" w:name="P108"/>
    <w:bookmarkEnd w:id="108"/>
    <w:p>
      <w:pPr>
        <w:pStyle w:val="0"/>
        <w:spacing w:before="200" w:lineRule="auto"/>
        <w:ind w:firstLine="540"/>
        <w:jc w:val="both"/>
      </w:pPr>
      <w:r>
        <w:rPr>
          <w:sz w:val="20"/>
        </w:rPr>
        <w:t xml:space="preserve">а) до 3/4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0"/>
            <w:color w:val="0000ff"/>
          </w:rPr>
          <w:t xml:space="preserve">подпункте 2.9.3 пункта 2</w:t>
        </w:r>
      </w:hyperlink>
      <w:r>
        <w:rPr>
          <w:sz w:val="20"/>
        </w:rPr>
        <w:t xml:space="preserve"> настоящих Требований;</w:t>
      </w:r>
    </w:p>
    <w:p>
      <w:pPr>
        <w:pStyle w:val="0"/>
        <w:spacing w:before="200" w:lineRule="auto"/>
        <w:ind w:firstLine="540"/>
        <w:jc w:val="both"/>
      </w:pPr>
      <w:r>
        <w:rPr>
          <w:sz w:val="20"/>
        </w:rPr>
        <w:t xml:space="preserve">б) от 3/4 до полуторакратного размера ключевой ставки Банка России, установленной на дату заключения договора микрозайма с субъектом МСП, не указанным в </w:t>
      </w:r>
      <w:hyperlink w:history="0" w:anchor="P108" w:tooltip="а) до 3/4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0"/>
            <w:color w:val="0000ff"/>
          </w:rPr>
          <w:t xml:space="preserve">подпункте "а" подпункта 2.9.2 пункта 2</w:t>
        </w:r>
      </w:hyperlink>
      <w:r>
        <w:rPr>
          <w:sz w:val="20"/>
        </w:rPr>
        <w:t xml:space="preserve"> настоящих Требований, организацией, образующей инфраструктуру поддержки субъектов МСП.</w:t>
      </w:r>
    </w:p>
    <w:bookmarkStart w:id="110" w:name="P110"/>
    <w:bookmarkEnd w:id="110"/>
    <w:p>
      <w:pPr>
        <w:pStyle w:val="0"/>
        <w:spacing w:before="200" w:lineRule="auto"/>
        <w:ind w:firstLine="540"/>
        <w:jc w:val="both"/>
      </w:pPr>
      <w:r>
        <w:rPr>
          <w:sz w:val="20"/>
        </w:rPr>
        <w:t xml:space="preserve">2.9.2.1. При значении ключевой ставки Банка России, равном 16% годовых и менее, процентная ставка при отсутствии залогового обеспечения и (или) поручительства (гарантии) РГО составляет:</w:t>
      </w:r>
    </w:p>
    <w:bookmarkStart w:id="111" w:name="P111"/>
    <w:bookmarkEnd w:id="111"/>
    <w:p>
      <w:pPr>
        <w:pStyle w:val="0"/>
        <w:spacing w:before="200" w:lineRule="auto"/>
        <w:ind w:firstLine="540"/>
        <w:jc w:val="both"/>
      </w:pPr>
      <w:r>
        <w:rPr>
          <w:sz w:val="20"/>
        </w:rPr>
        <w:t xml:space="preserve">а) от 3/4 до однократного размера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0"/>
            <w:color w:val="0000ff"/>
          </w:rPr>
          <w:t xml:space="preserve">подпункте 2.9.3 пункта 2</w:t>
        </w:r>
      </w:hyperlink>
      <w:r>
        <w:rPr>
          <w:sz w:val="20"/>
        </w:rPr>
        <w:t xml:space="preserve"> настоящих Требований;</w:t>
      </w:r>
    </w:p>
    <w:p>
      <w:pPr>
        <w:pStyle w:val="0"/>
        <w:spacing w:before="200" w:lineRule="auto"/>
        <w:ind w:firstLine="540"/>
        <w:jc w:val="both"/>
      </w:pPr>
      <w:r>
        <w:rPr>
          <w:sz w:val="20"/>
        </w:rPr>
        <w:t xml:space="preserve">б) от однократного до 2,5 размеров ключевой ставки Банка России, установленной на дату заключения договора микрозайма с субъектом МСП, не указанным в </w:t>
      </w:r>
      <w:hyperlink w:history="0" w:anchor="P111" w:tooltip="а) от 3/4 до однократного размера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0"/>
            <w:color w:val="0000ff"/>
          </w:rPr>
          <w:t xml:space="preserve">подпункте "а" подпункта 2.9.2.1 пункта 2</w:t>
        </w:r>
      </w:hyperlink>
      <w:r>
        <w:rPr>
          <w:sz w:val="20"/>
        </w:rPr>
        <w:t xml:space="preserve"> настоящих Требований, организацией, образующей инфраструктуру поддержки субъектов МСП.</w:t>
      </w:r>
    </w:p>
    <w:bookmarkStart w:id="113" w:name="P113"/>
    <w:bookmarkEnd w:id="113"/>
    <w:p>
      <w:pPr>
        <w:pStyle w:val="0"/>
        <w:spacing w:before="200" w:lineRule="auto"/>
        <w:ind w:firstLine="540"/>
        <w:jc w:val="both"/>
      </w:pPr>
      <w:r>
        <w:rPr>
          <w:sz w:val="20"/>
        </w:rPr>
        <w:t xml:space="preserve">2.9.3. Приоритетные проекты, реализуемые субъектами МСП, удовлетворяют одному или нескольким условиям:</w:t>
      </w:r>
    </w:p>
    <w:p>
      <w:pPr>
        <w:pStyle w:val="0"/>
        <w:spacing w:before="200" w:lineRule="auto"/>
        <w:ind w:firstLine="540"/>
        <w:jc w:val="both"/>
      </w:pPr>
      <w:r>
        <w:rPr>
          <w:sz w:val="20"/>
        </w:rPr>
        <w:t xml:space="preserve">а) субъект МСП на дату заключения договора (соглашения) о предоставлении микрозайма осуществляет один из следующих видов деятельности в соответствии с Общероссийским </w:t>
      </w:r>
      <w:hyperlink w:history="0" r:id="rId2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классификатором</w:t>
        </w:r>
      </w:hyperlink>
      <w:r>
        <w:rPr>
          <w:sz w:val="20"/>
        </w:rPr>
        <w:t xml:space="preserve"> видов экономической деятельности (ОК 029-2014) (далее - ОКВЭД):</w:t>
      </w:r>
    </w:p>
    <w:p>
      <w:pPr>
        <w:pStyle w:val="0"/>
        <w:spacing w:before="200" w:lineRule="auto"/>
        <w:ind w:firstLine="540"/>
        <w:jc w:val="both"/>
      </w:pPr>
      <w:r>
        <w:rPr>
          <w:sz w:val="20"/>
        </w:rPr>
        <w:t xml:space="preserve">обрабатывающие производства (в рамках </w:t>
      </w:r>
      <w:hyperlink w:history="0" r:id="rId2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раздела C</w:t>
        </w:r>
      </w:hyperlink>
      <w:r>
        <w:rPr>
          <w:sz w:val="20"/>
        </w:rPr>
        <w:t xml:space="preserve"> "Обрабатывающие производства" ОКВЭД);</w:t>
      </w:r>
    </w:p>
    <w:p>
      <w:pPr>
        <w:pStyle w:val="0"/>
        <w:spacing w:before="200" w:lineRule="auto"/>
        <w:ind w:firstLine="540"/>
        <w:jc w:val="both"/>
      </w:pPr>
      <w:r>
        <w:rPr>
          <w:sz w:val="20"/>
        </w:rPr>
        <w:t xml:space="preserve">деятельность гостиниц и предприятий общественного питания (в рамках </w:t>
      </w:r>
      <w:hyperlink w:history="0" r:id="rId2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раздела I</w:t>
        </w:r>
      </w:hyperlink>
      <w:r>
        <w:rPr>
          <w:sz w:val="20"/>
        </w:rPr>
        <w:t xml:space="preserve"> "Деятельность гостиниц и предприятий общественного питания" ОКВЭД);</w:t>
      </w:r>
    </w:p>
    <w:p>
      <w:pPr>
        <w:pStyle w:val="0"/>
        <w:spacing w:before="200" w:lineRule="auto"/>
        <w:ind w:firstLine="540"/>
        <w:jc w:val="both"/>
      </w:pPr>
      <w:r>
        <w:rPr>
          <w:sz w:val="20"/>
        </w:rPr>
        <w:t xml:space="preserve">деятельность в области информации и связи (в рамках </w:t>
      </w:r>
      <w:hyperlink w:history="0" r:id="rId27"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раздела J</w:t>
        </w:r>
      </w:hyperlink>
      <w:r>
        <w:rPr>
          <w:sz w:val="20"/>
        </w:rPr>
        <w:t xml:space="preserve"> "Деятельность в области информации и связи" ОКВЭД);</w:t>
      </w:r>
    </w:p>
    <w:p>
      <w:pPr>
        <w:pStyle w:val="0"/>
        <w:spacing w:before="200" w:lineRule="auto"/>
        <w:ind w:firstLine="540"/>
        <w:jc w:val="both"/>
      </w:pPr>
      <w:r>
        <w:rPr>
          <w:sz w:val="20"/>
        </w:rPr>
        <w:t xml:space="preserve">деятельность профессиональная, научная и техническая (в рамках </w:t>
      </w:r>
      <w:hyperlink w:history="0" r:id="rId2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раздела M</w:t>
        </w:r>
      </w:hyperlink>
      <w:r>
        <w:rPr>
          <w:sz w:val="20"/>
        </w:rPr>
        <w:t xml:space="preserve"> "Деятельность профессиональная, научная и техническая" ОКВЭД);</w:t>
      </w:r>
    </w:p>
    <w:p>
      <w:pPr>
        <w:pStyle w:val="0"/>
        <w:spacing w:before="200" w:lineRule="auto"/>
        <w:ind w:firstLine="540"/>
        <w:jc w:val="both"/>
      </w:pPr>
      <w:r>
        <w:rPr>
          <w:sz w:val="20"/>
        </w:rPr>
        <w:t xml:space="preserve">деятельность в сфере туризма (в рамках </w:t>
      </w:r>
      <w:hyperlink w:history="0" r:id="rId2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класса 79</w:t>
        </w:r>
      </w:hyperlink>
      <w:r>
        <w:rPr>
          <w:sz w:val="20"/>
        </w:rPr>
        <w:t xml:space="preserve"> раздела N "Деятельность административная и сопутствующие услуги" ОКВЭД);</w:t>
      </w:r>
    </w:p>
    <w:p>
      <w:pPr>
        <w:pStyle w:val="0"/>
        <w:spacing w:before="200" w:lineRule="auto"/>
        <w:ind w:firstLine="540"/>
        <w:jc w:val="both"/>
      </w:pPr>
      <w:r>
        <w:rPr>
          <w:sz w:val="20"/>
        </w:rPr>
        <w:t xml:space="preserve">б) субъект МСП является вновь зарегистрированным и действующим менее 2 лет на дату заключения договора (соглашения) о предоставлении микрозайма;</w:t>
      </w:r>
    </w:p>
    <w:p>
      <w:pPr>
        <w:pStyle w:val="0"/>
        <w:spacing w:before="200" w:lineRule="auto"/>
        <w:ind w:firstLine="540"/>
        <w:jc w:val="both"/>
      </w:pPr>
      <w:r>
        <w:rPr>
          <w:sz w:val="20"/>
        </w:rPr>
        <w:t xml:space="preserve">в) субъект МСП на дату заключения договора (соглашения) о предоставлении микрозайма является субъектом креативной индустрии в соответствии с Федеральным </w:t>
      </w:r>
      <w:hyperlink w:history="0" r:id="rId30" w:tooltip="Федеральный закон от 08.08.2024 N 330-ФЗ &quot;О развитии креативных (творческих) индустрий в Российской Федерации&quot; {КонсультантПлюс}">
        <w:r>
          <w:rPr>
            <w:sz w:val="20"/>
            <w:color w:val="0000ff"/>
          </w:rPr>
          <w:t xml:space="preserve">законом</w:t>
        </w:r>
      </w:hyperlink>
      <w:r>
        <w:rPr>
          <w:sz w:val="20"/>
        </w:rPr>
        <w:t xml:space="preserve"> от 8 августа 2024 г. N 330-ФЗ "О развитии креативных (творческих) индустрий в Российской Федерации" (далее - креативная индустрия);</w:t>
      </w:r>
    </w:p>
    <w:p>
      <w:pPr>
        <w:pStyle w:val="0"/>
        <w:spacing w:before="200" w:lineRule="auto"/>
        <w:ind w:firstLine="540"/>
        <w:jc w:val="both"/>
      </w:pPr>
      <w:r>
        <w:rPr>
          <w:sz w:val="20"/>
        </w:rPr>
        <w:t xml:space="preserve">г) субъект МСП на дату заключения договора (соглашения) о предоставлении микрозайма осуществляет экспортную деятельность;</w:t>
      </w:r>
    </w:p>
    <w:p>
      <w:pPr>
        <w:pStyle w:val="0"/>
        <w:spacing w:before="200" w:lineRule="auto"/>
        <w:ind w:firstLine="540"/>
        <w:jc w:val="both"/>
      </w:pPr>
      <w:r>
        <w:rPr>
          <w:sz w:val="20"/>
        </w:rPr>
        <w:t xml:space="preserve">д) субъект МСП на дату заключения договора (соглашения) о предоставлении микрозайма реализует иные приоритетные проекты, определенные высшим или иным уполномоченным органом управления ГМФО, из числа приоритетных проектов, утвержденных нормативным правовым актом высшего исполнительного органа субъекта Российской Федерации.</w:t>
      </w:r>
    </w:p>
    <w:p>
      <w:pPr>
        <w:pStyle w:val="0"/>
        <w:spacing w:before="200" w:lineRule="auto"/>
        <w:ind w:firstLine="540"/>
        <w:jc w:val="both"/>
      </w:pPr>
      <w:r>
        <w:rPr>
          <w:sz w:val="20"/>
        </w:rPr>
        <w:t xml:space="preserve">2.10. Микрозайм ГМФО предоставляется, если субъект МСП или организация, образующая инфраструктуру поддержки субъектов МСП, отвечает следующим критериям:</w:t>
      </w:r>
    </w:p>
    <w:p>
      <w:pPr>
        <w:pStyle w:val="0"/>
        <w:spacing w:before="200" w:lineRule="auto"/>
        <w:ind w:firstLine="540"/>
        <w:jc w:val="both"/>
      </w:pPr>
      <w:r>
        <w:rPr>
          <w:sz w:val="20"/>
        </w:rPr>
        <w:t xml:space="preserve">а) у субъекта МСП или организации, образующей инфраструктуру поддержки субъектов МСП, отсутствует просроченная задолженность по налогам и сборам и иным обязательным платежам в бюджеты бюджетной системы Российской Федерации, превышающая 50 тыс. рублей, подтвержденная справкой налогового органа, выданной не ранее 30 календарных дней до дня заключения договора микрозайма;</w:t>
      </w:r>
    </w:p>
    <w:p>
      <w:pPr>
        <w:pStyle w:val="0"/>
        <w:spacing w:before="200" w:lineRule="auto"/>
        <w:ind w:firstLine="540"/>
        <w:jc w:val="both"/>
      </w:pPr>
      <w:r>
        <w:rPr>
          <w:sz w:val="20"/>
        </w:rPr>
        <w:t xml:space="preserve">б) в отношении субъекта МСП или организации, образующей инфраструктуру поддержки субъектов 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pPr>
        <w:pStyle w:val="0"/>
        <w:spacing w:before="200" w:lineRule="auto"/>
        <w:ind w:firstLine="540"/>
        <w:jc w:val="both"/>
      </w:pPr>
      <w:r>
        <w:rPr>
          <w:sz w:val="20"/>
        </w:rPr>
        <w:t xml:space="preserve">2.11. Руководитель ГМФО должен соответствовать квалификационным требованиям, предусмотренным </w:t>
      </w:r>
      <w:hyperlink w:history="0" r:id="rId31"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статьей 4.1-1</w:t>
        </w:r>
      </w:hyperlink>
      <w:r>
        <w:rPr>
          <w:sz w:val="20"/>
        </w:rPr>
        <w:t xml:space="preserve"> Федерального закона N 151-ФЗ.</w:t>
      </w:r>
    </w:p>
    <w:p>
      <w:pPr>
        <w:pStyle w:val="0"/>
        <w:spacing w:before="200" w:lineRule="auto"/>
        <w:ind w:firstLine="540"/>
        <w:jc w:val="both"/>
      </w:pPr>
      <w:r>
        <w:rPr>
          <w:sz w:val="20"/>
        </w:rPr>
        <w:t xml:space="preserve">2.11.1. Лицо, осуществляющее функции главного бухгалтера ГМФО, должно соответствовать квалификационным требованиям, предусмотренным </w:t>
      </w:r>
      <w:hyperlink w:history="0" r:id="rId32"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статьей 4.1-1</w:t>
        </w:r>
      </w:hyperlink>
      <w:r>
        <w:rPr>
          <w:sz w:val="20"/>
        </w:rPr>
        <w:t xml:space="preserve"> Федерального закона N 151-ФЗ.</w:t>
      </w:r>
    </w:p>
    <w:p>
      <w:pPr>
        <w:pStyle w:val="0"/>
        <w:spacing w:before="200" w:lineRule="auto"/>
        <w:ind w:firstLine="540"/>
        <w:jc w:val="both"/>
      </w:pPr>
      <w:r>
        <w:rPr>
          <w:sz w:val="20"/>
        </w:rPr>
        <w:t xml:space="preserve">2.12. ГМФО должна обеспечивать организацию и осуществление внутреннего контроля ведения бухгалтерского учета и составления бухгалтерской (финансовой) отчетности.</w:t>
      </w:r>
    </w:p>
    <w:p>
      <w:pPr>
        <w:pStyle w:val="0"/>
        <w:spacing w:before="200" w:lineRule="auto"/>
        <w:ind w:firstLine="540"/>
        <w:jc w:val="both"/>
      </w:pPr>
      <w:r>
        <w:rPr>
          <w:sz w:val="20"/>
        </w:rPr>
        <w:t xml:space="preserve">2.12.1. ГМФО в целях стратегического обеспечения микрофинансовой деятельности разрабатывает программу деятельности ГМФО на трехлетний период, включающую:</w:t>
      </w:r>
    </w:p>
    <w:p>
      <w:pPr>
        <w:pStyle w:val="0"/>
        <w:spacing w:before="200" w:lineRule="auto"/>
        <w:ind w:firstLine="540"/>
        <w:jc w:val="both"/>
      </w:pPr>
      <w:r>
        <w:rPr>
          <w:sz w:val="20"/>
        </w:rPr>
        <w:t xml:space="preserve">а) анализ деятельности ГМФО;</w:t>
      </w:r>
    </w:p>
    <w:p>
      <w:pPr>
        <w:pStyle w:val="0"/>
        <w:spacing w:before="200" w:lineRule="auto"/>
        <w:ind w:firstLine="540"/>
        <w:jc w:val="both"/>
      </w:pPr>
      <w:r>
        <w:rPr>
          <w:sz w:val="20"/>
        </w:rPr>
        <w:t xml:space="preserve">б) ежегодные целевые значения ключевых показателей эффективности;</w:t>
      </w:r>
    </w:p>
    <w:p>
      <w:pPr>
        <w:pStyle w:val="0"/>
        <w:spacing w:before="200" w:lineRule="auto"/>
        <w:ind w:firstLine="540"/>
        <w:jc w:val="both"/>
      </w:pPr>
      <w:r>
        <w:rPr>
          <w:sz w:val="20"/>
        </w:rPr>
        <w:t xml:space="preserve">в) мероприятия по продвижению микрофинансовых продуктов, расширению партнерской сети и позиционированию ГМФО;</w:t>
      </w:r>
    </w:p>
    <w:p>
      <w:pPr>
        <w:pStyle w:val="0"/>
        <w:spacing w:before="200" w:lineRule="auto"/>
        <w:ind w:firstLine="540"/>
        <w:jc w:val="both"/>
      </w:pPr>
      <w:r>
        <w:rPr>
          <w:sz w:val="20"/>
        </w:rPr>
        <w:t xml:space="preserve">г) комплекс мероприятий по достижению целевых значений ключевых показателей эффективности.</w:t>
      </w:r>
    </w:p>
    <w:p>
      <w:pPr>
        <w:pStyle w:val="0"/>
        <w:spacing w:before="200" w:lineRule="auto"/>
        <w:ind w:firstLine="540"/>
        <w:jc w:val="both"/>
      </w:pPr>
      <w:r>
        <w:rPr>
          <w:sz w:val="20"/>
        </w:rPr>
        <w:t xml:space="preserve">2.12.2. Программа деятельности ГМФО на трехлетний период утверждается высшим или иным уполномоченным органом управления ГМФО.</w:t>
      </w:r>
    </w:p>
    <w:p>
      <w:pPr>
        <w:pStyle w:val="0"/>
        <w:spacing w:before="200" w:lineRule="auto"/>
        <w:ind w:firstLine="540"/>
        <w:jc w:val="both"/>
      </w:pPr>
      <w:r>
        <w:rPr>
          <w:sz w:val="20"/>
        </w:rPr>
        <w:t xml:space="preserve">2.12.3. Ключевыми показателями эффективности деятельности ГМФО являются:</w:t>
      </w:r>
    </w:p>
    <w:p>
      <w:pPr>
        <w:pStyle w:val="0"/>
        <w:spacing w:before="200" w:lineRule="auto"/>
        <w:ind w:firstLine="540"/>
        <w:jc w:val="both"/>
      </w:pPr>
      <w:r>
        <w:rPr>
          <w:sz w:val="20"/>
        </w:rPr>
        <w:t xml:space="preserve">а) годовой объем микрозаймов (в количественном и денежном выражении), планируемых к предоставлению субъектам МСП в следующем финансовом году, который рассчитывается ежегодно не позднее 15 декабря текущего года.</w:t>
      </w:r>
    </w:p>
    <w:p>
      <w:pPr>
        <w:pStyle w:val="0"/>
        <w:spacing w:before="200" w:lineRule="auto"/>
        <w:ind w:firstLine="540"/>
        <w:jc w:val="both"/>
      </w:pPr>
      <w:r>
        <w:rPr>
          <w:sz w:val="20"/>
        </w:rPr>
        <w:t xml:space="preserve">Годовой объем микрозаймов в количественном выражении измеряется количеством микрозаймов, планируемых к предоставлению субъектам МСП в следующем финансовом году (КМЗ) и рассчитывается по следующей формуле:</w:t>
      </w:r>
    </w:p>
    <w:p>
      <w:pPr>
        <w:pStyle w:val="0"/>
        <w:jc w:val="center"/>
      </w:pPr>
      <w:r>
        <w:rPr>
          <w:sz w:val="20"/>
        </w:rPr>
      </w:r>
    </w:p>
    <w:p>
      <w:pPr>
        <w:pStyle w:val="0"/>
        <w:jc w:val="center"/>
      </w:pPr>
      <w:r>
        <w:rPr>
          <w:position w:val="-23"/>
        </w:rPr>
        <w:drawing>
          <wp:inline distT="0" distB="0" distL="0" distR="0">
            <wp:extent cx="8096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 - денежный объем микрозаймов, планируемых к предоставлению ГМФО субъектам МСП в следующем финансовом году, определенный для субъектов Российской Федерации паспортом федерального проекта;</w:t>
      </w:r>
    </w:p>
    <w:p>
      <w:pPr>
        <w:pStyle w:val="0"/>
        <w:spacing w:before="200" w:lineRule="auto"/>
        <w:ind w:firstLine="540"/>
        <w:jc w:val="both"/>
      </w:pPr>
      <w:r>
        <w:rPr>
          <w:sz w:val="20"/>
        </w:rPr>
        <w:t xml:space="preserve">СрЧ - средняя сумма микрозайма, предоставленного ГМФО субъектам МСП в текущем году, размер которого определяется по состоянию на 1 октября текущего года.</w:t>
      </w:r>
    </w:p>
    <w:p>
      <w:pPr>
        <w:pStyle w:val="0"/>
        <w:spacing w:before="200" w:lineRule="auto"/>
        <w:ind w:firstLine="540"/>
        <w:jc w:val="both"/>
      </w:pPr>
      <w:r>
        <w:rPr>
          <w:sz w:val="20"/>
        </w:rPr>
        <w:t xml:space="preserve">Годовой объем микрозаймов в денежном выражении измеряется денежным объемом микрозаймов, планируемых к предоставлению ГМФО субъектам МСП в следующем финансовом году, определенным для субъекта Российской Федерации паспортом федерального проекта;</w:t>
      </w:r>
    </w:p>
    <w:p>
      <w:pPr>
        <w:pStyle w:val="0"/>
        <w:spacing w:before="200" w:lineRule="auto"/>
        <w:ind w:firstLine="540"/>
        <w:jc w:val="both"/>
      </w:pPr>
      <w:r>
        <w:rPr>
          <w:sz w:val="20"/>
        </w:rPr>
        <w:t xml:space="preserve">б) результат от операционной и финансовой деятельности за отчетный год по основному виду деятельности ГМФО (Р), рассчитанный по следующей формуле:</w:t>
      </w:r>
    </w:p>
    <w:p>
      <w:pPr>
        <w:pStyle w:val="0"/>
        <w:ind w:firstLine="540"/>
        <w:jc w:val="both"/>
      </w:pPr>
      <w:r>
        <w:rPr>
          <w:sz w:val="20"/>
        </w:rPr>
      </w:r>
    </w:p>
    <w:p>
      <w:pPr>
        <w:pStyle w:val="0"/>
        <w:jc w:val="center"/>
      </w:pPr>
      <w:r>
        <w:rPr>
          <w:sz w:val="20"/>
        </w:rPr>
        <w:t xml:space="preserve">Р = ДР + ДМ + ПД - РН - ОР - У,</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ДР - доход ГМФО от размещения временно свободных денежных средств за отчетный год;</w:t>
      </w:r>
    </w:p>
    <w:p>
      <w:pPr>
        <w:pStyle w:val="0"/>
        <w:spacing w:before="200" w:lineRule="auto"/>
        <w:ind w:firstLine="540"/>
        <w:jc w:val="both"/>
      </w:pPr>
      <w:r>
        <w:rPr>
          <w:sz w:val="20"/>
        </w:rPr>
        <w:t xml:space="preserve">ДМ - доход ГМФО за предоставление микрозаймов за отчетный год;</w:t>
      </w:r>
    </w:p>
    <w:p>
      <w:pPr>
        <w:pStyle w:val="0"/>
        <w:spacing w:before="200" w:lineRule="auto"/>
        <w:ind w:firstLine="540"/>
        <w:jc w:val="both"/>
      </w:pPr>
      <w:r>
        <w:rPr>
          <w:sz w:val="20"/>
        </w:rPr>
        <w:t xml:space="preserve">ПД - прочие доходы ГМФО от основного вида деятельности за отчетный год;</w:t>
      </w:r>
    </w:p>
    <w:p>
      <w:pPr>
        <w:pStyle w:val="0"/>
        <w:spacing w:before="200" w:lineRule="auto"/>
        <w:ind w:firstLine="540"/>
        <w:jc w:val="both"/>
      </w:pPr>
      <w:r>
        <w:rPr>
          <w:sz w:val="20"/>
        </w:rPr>
        <w:t xml:space="preserve">РН - расход ГМФО, связанный с уплатой соответствующих налогов, связанных с получением доходов от размещения временно свободных денежных средств и микрозаймов за отчетный год;</w:t>
      </w:r>
    </w:p>
    <w:p>
      <w:pPr>
        <w:pStyle w:val="0"/>
        <w:spacing w:before="200" w:lineRule="auto"/>
        <w:ind w:firstLine="540"/>
        <w:jc w:val="both"/>
      </w:pPr>
      <w:r>
        <w:rPr>
          <w:sz w:val="20"/>
        </w:rPr>
        <w:t xml:space="preserve">ОР - операционные расходы за отчетный год;</w:t>
      </w:r>
    </w:p>
    <w:p>
      <w:pPr>
        <w:pStyle w:val="0"/>
        <w:spacing w:before="200" w:lineRule="auto"/>
        <w:ind w:firstLine="540"/>
        <w:jc w:val="both"/>
      </w:pPr>
      <w:r>
        <w:rPr>
          <w:sz w:val="20"/>
        </w:rPr>
        <w:t xml:space="preserve">У - убытки ГМФО от потерь по микрозаймам за отчетный год;</w:t>
      </w:r>
    </w:p>
    <w:p>
      <w:pPr>
        <w:pStyle w:val="0"/>
        <w:spacing w:before="200" w:lineRule="auto"/>
        <w:ind w:firstLine="540"/>
        <w:jc w:val="both"/>
      </w:pPr>
      <w:r>
        <w:rPr>
          <w:sz w:val="20"/>
        </w:rPr>
        <w:t xml:space="preserve">в) значение показателя "Рентабельность активов", рассчитываемого в соответствии с </w:t>
      </w:r>
      <w:hyperlink w:history="0" w:anchor="P221" w:tooltip="2.13.9. Показатель &quot;Рентабельность активов&quot; (РА) ГМФО должен превышать 0% по состоянию на конец отчетного календарного года и рассчитывается по следующей формуле:">
        <w:r>
          <w:rPr>
            <w:sz w:val="20"/>
            <w:color w:val="0000ff"/>
          </w:rPr>
          <w:t xml:space="preserve">подпунктом 2.13.9 пункта 2</w:t>
        </w:r>
      </w:hyperlink>
      <w:r>
        <w:rPr>
          <w:sz w:val="20"/>
        </w:rPr>
        <w:t xml:space="preserve"> настоящих Требований.</w:t>
      </w:r>
    </w:p>
    <w:p>
      <w:pPr>
        <w:pStyle w:val="0"/>
        <w:spacing w:before="200" w:lineRule="auto"/>
        <w:ind w:firstLine="540"/>
        <w:jc w:val="both"/>
      </w:pPr>
      <w:r>
        <w:rPr>
          <w:sz w:val="20"/>
        </w:rPr>
        <w:t xml:space="preserve">2.12.4. ГМФО разрабатывают и утверждают внутренний документ, определяющий организацию работы с просроченной задолженностью.</w:t>
      </w:r>
    </w:p>
    <w:p>
      <w:pPr>
        <w:pStyle w:val="0"/>
        <w:spacing w:before="200" w:lineRule="auto"/>
        <w:ind w:firstLine="540"/>
        <w:jc w:val="both"/>
      </w:pPr>
      <w:r>
        <w:rPr>
          <w:sz w:val="20"/>
        </w:rPr>
        <w:t xml:space="preserve">2.13. ГМФО должна обеспечивать выполнение следующих показателей.</w:t>
      </w:r>
    </w:p>
    <w:bookmarkStart w:id="160" w:name="P160"/>
    <w:bookmarkEnd w:id="160"/>
    <w:p>
      <w:pPr>
        <w:pStyle w:val="0"/>
        <w:spacing w:before="200" w:lineRule="auto"/>
        <w:ind w:firstLine="540"/>
        <w:jc w:val="both"/>
      </w:pPr>
      <w:r>
        <w:rPr>
          <w:sz w:val="20"/>
        </w:rPr>
        <w:t xml:space="preserve">2.13.1. Показатель "Собственные средства (капитал) ГМФО" (К) рассчитывается в соответствии с </w:t>
      </w:r>
      <w:hyperlink w:history="0" r:id="rId34" w:tooltip="Указание Банка России от 01.06.2020 N 5472-У &quot;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quot; (Зарегистрировано в Минюсте России 25.06.2020 N 58774) {КонсультантПлюс}">
        <w:r>
          <w:rPr>
            <w:sz w:val="20"/>
            <w:color w:val="0000ff"/>
          </w:rPr>
          <w:t xml:space="preserve">Указанием</w:t>
        </w:r>
      </w:hyperlink>
      <w:r>
        <w:rPr>
          <w:sz w:val="20"/>
        </w:rP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&lt;4&gt; для микрокредитной компании, в соответствии с </w:t>
      </w:r>
      <w:hyperlink w:history="0" r:id="rId35" w:tooltip="Указание Банка России от 11.09.2019 N 5253-У (ред. от 29.05.2023) &quot;Об установлении методики определения собственных средств (капитала) микрофинансовой компании&quot; (Зарегистрировано в Минюсте России 06.12.2019 N 56723) {КонсультантПлюс}">
        <w:r>
          <w:rPr>
            <w:sz w:val="20"/>
            <w:color w:val="0000ff"/>
          </w:rPr>
          <w:t xml:space="preserve">Указанием</w:t>
        </w:r>
      </w:hyperlink>
      <w:r>
        <w:rPr>
          <w:sz w:val="20"/>
        </w:rPr>
        <w:t xml:space="preserve"> Банка России от 11 сентября 2019 г. N 5253-У "Об установлении методики определения собственных средств (капитала) микрофинансовой компании" &lt;5&gt; для микрофинансовой компании по следующей формуле: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Зарегистрировано Минюстом России 25 июня 2020 г., регистрационный N 58774.</w:t>
      </w:r>
    </w:p>
    <w:p>
      <w:pPr>
        <w:pStyle w:val="0"/>
        <w:spacing w:before="200" w:lineRule="auto"/>
        <w:ind w:firstLine="540"/>
        <w:jc w:val="both"/>
      </w:pPr>
      <w:r>
        <w:rPr>
          <w:sz w:val="20"/>
        </w:rPr>
        <w:t xml:space="preserve">&lt;5&gt; Зарегистрировано Минюстом России 6 декабря 2019 г., регистрационный N 56723 с изменениями, внесенными указаниями Банка России от 24 февраля 2021 г. N 5739-У (зарегистрировано Минюстом России 26 мая 2021 г., регистрационный N 63625), от 9 сентября 2021 г. N 5918-У (зарегистрировано Минюстом России 18 октября 2021 г., регистрационный N 65451), от 29 мая 2023 г. N 6430-У (зарегистрировано Минюстом России 4 июля 2023 г., регистрационный N 74135).</w:t>
      </w:r>
    </w:p>
    <w:p>
      <w:pPr>
        <w:pStyle w:val="0"/>
        <w:ind w:firstLine="540"/>
        <w:jc w:val="both"/>
      </w:pPr>
      <w:r>
        <w:rPr>
          <w:sz w:val="20"/>
        </w:rPr>
      </w:r>
    </w:p>
    <w:bookmarkStart w:id="165" w:name="P165"/>
    <w:bookmarkEnd w:id="165"/>
    <w:p>
      <w:pPr>
        <w:pStyle w:val="0"/>
        <w:jc w:val="center"/>
      </w:pPr>
      <w:r>
        <w:rPr>
          <w:sz w:val="20"/>
        </w:rPr>
        <w:t xml:space="preserve">К = А - О,</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 - активы ГМФО, относящиеся к микрофинансовой деятельности;</w:t>
      </w:r>
    </w:p>
    <w:p>
      <w:pPr>
        <w:pStyle w:val="0"/>
        <w:spacing w:before="200" w:lineRule="auto"/>
        <w:ind w:firstLine="540"/>
        <w:jc w:val="both"/>
      </w:pPr>
      <w:r>
        <w:rPr>
          <w:sz w:val="20"/>
        </w:rPr>
        <w:t xml:space="preserve">О - обязательства ГМФО, относящиеся к микрофинансовой деятельности.</w:t>
      </w:r>
    </w:p>
    <w:p>
      <w:pPr>
        <w:pStyle w:val="0"/>
        <w:spacing w:before="200" w:lineRule="auto"/>
        <w:ind w:firstLine="540"/>
        <w:jc w:val="both"/>
      </w:pPr>
      <w:r>
        <w:rPr>
          <w:sz w:val="20"/>
        </w:rPr>
        <w:t xml:space="preserve">2.13.2. Показатель "Достаточность собственных средств" (ДСС) относительно объема активов ГМФО не должен быть менее 15% и рассчитывается по следующей формуле:</w:t>
      </w:r>
    </w:p>
    <w:p>
      <w:pPr>
        <w:pStyle w:val="0"/>
        <w:ind w:firstLine="540"/>
        <w:jc w:val="both"/>
      </w:pPr>
      <w:r>
        <w:rPr>
          <w:sz w:val="20"/>
        </w:rPr>
      </w:r>
    </w:p>
    <w:p>
      <w:pPr>
        <w:pStyle w:val="0"/>
        <w:jc w:val="center"/>
      </w:pPr>
      <w:r>
        <w:rPr>
          <w:position w:val="-20"/>
        </w:rPr>
        <w:drawing>
          <wp:inline distT="0" distB="0" distL="0" distR="0">
            <wp:extent cx="9810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 - собственные средства (капитал) ГМФО, рассчитываемый по </w:t>
      </w:r>
      <w:hyperlink w:history="0" w:anchor="P165" w:tooltip="К = А - О,">
        <w:r>
          <w:rPr>
            <w:sz w:val="20"/>
            <w:color w:val="0000ff"/>
          </w:rPr>
          <w:t xml:space="preserve">формуле</w:t>
        </w:r>
      </w:hyperlink>
      <w:r>
        <w:rPr>
          <w:sz w:val="20"/>
        </w:rPr>
        <w:t xml:space="preserve">, указанной в подпункте 2.13.1 пункта 2 настоящих Требований;</w:t>
      </w:r>
    </w:p>
    <w:p>
      <w:pPr>
        <w:pStyle w:val="0"/>
        <w:spacing w:before="200" w:lineRule="auto"/>
        <w:ind w:firstLine="540"/>
        <w:jc w:val="both"/>
      </w:pPr>
      <w:r>
        <w:rPr>
          <w:sz w:val="20"/>
        </w:rPr>
        <w:t xml:space="preserve">А - активы ГМФО, относящиеся к микрофинансовой деятельности.</w:t>
      </w:r>
    </w:p>
    <w:bookmarkStart w:id="177" w:name="P177"/>
    <w:bookmarkEnd w:id="177"/>
    <w:p>
      <w:pPr>
        <w:pStyle w:val="0"/>
        <w:spacing w:before="200" w:lineRule="auto"/>
        <w:ind w:firstLine="540"/>
        <w:jc w:val="both"/>
      </w:pPr>
      <w:r>
        <w:rPr>
          <w:sz w:val="20"/>
        </w:rPr>
        <w:t xml:space="preserve">2.13.3. Показатель "Эффективность размещения средств" (ЭРс) ГМФО в микрозаймы должен быть не менее 85% и рассчитывается по следующей формуле:</w:t>
      </w:r>
    </w:p>
    <w:p>
      <w:pPr>
        <w:pStyle w:val="0"/>
        <w:jc w:val="center"/>
      </w:pPr>
      <w:r>
        <w:rPr>
          <w:sz w:val="20"/>
        </w:rPr>
      </w:r>
    </w:p>
    <w:p>
      <w:pPr>
        <w:pStyle w:val="0"/>
        <w:jc w:val="center"/>
      </w:pPr>
      <w:r>
        <w:rPr>
          <w:position w:val="-20"/>
        </w:rPr>
        <w:drawing>
          <wp:inline distT="0" distB="0" distL="0" distR="0">
            <wp:extent cx="11525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pPr>
        <w:pStyle w:val="0"/>
        <w:spacing w:before="200" w:lineRule="auto"/>
        <w:ind w:firstLine="540"/>
        <w:jc w:val="both"/>
      </w:pPr>
      <w:r>
        <w:rPr>
          <w:sz w:val="20"/>
        </w:rPr>
        <w:t xml:space="preserve">К - собственные средства (капитал) ГМФО, рассчитываемый по </w:t>
      </w:r>
      <w:hyperlink w:history="0" w:anchor="P165" w:tooltip="К = А - О,">
        <w:r>
          <w:rPr>
            <w:sz w:val="20"/>
            <w:color w:val="0000ff"/>
          </w:rPr>
          <w:t xml:space="preserve">формуле</w:t>
        </w:r>
      </w:hyperlink>
      <w:r>
        <w:rPr>
          <w:sz w:val="20"/>
        </w:rPr>
        <w:t xml:space="preserve">, указанной в подпункте 2.13.1 пункта 2 настоящих Требований.</w:t>
      </w:r>
    </w:p>
    <w:p>
      <w:pPr>
        <w:pStyle w:val="0"/>
        <w:spacing w:before="200" w:lineRule="auto"/>
        <w:ind w:firstLine="540"/>
        <w:jc w:val="both"/>
      </w:pPr>
      <w:r>
        <w:rPr>
          <w:sz w:val="20"/>
        </w:rPr>
        <w:t xml:space="preserve">2.13.4. Показатель "Операционная самоокупаемость" (ОС) ГМФО должен быть не менее 100% по окончании второго года деятельности и рассчитывается за отчетный период, равный календарному году (далее - отчетный период), по следующей формуле:</w:t>
      </w:r>
    </w:p>
    <w:p>
      <w:pPr>
        <w:pStyle w:val="0"/>
        <w:jc w:val="center"/>
      </w:pPr>
      <w:r>
        <w:rPr>
          <w:sz w:val="20"/>
        </w:rPr>
      </w:r>
    </w:p>
    <w:p>
      <w:pPr>
        <w:pStyle w:val="0"/>
        <w:jc w:val="center"/>
      </w:pPr>
      <w:r>
        <w:rPr>
          <w:position w:val="-25"/>
        </w:rPr>
        <w:drawing>
          <wp:inline distT="0" distB="0" distL="0" distR="0">
            <wp:extent cx="17621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762125" cy="44767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ФД - финансовый доход включающий в себя процентный доход от портфеля микрозаймов, платежи и комиссионные по портфелю микрозаймов, доход от штрафов и пени по портфелю микрозаймов и иные доходы ГМФО, за исключением доходов от иных видов деятельности ГМФО в случае наличия такой деятельности;</w:t>
      </w:r>
    </w:p>
    <w:p>
      <w:pPr>
        <w:pStyle w:val="0"/>
        <w:spacing w:before="200" w:lineRule="auto"/>
        <w:ind w:firstLine="540"/>
        <w:jc w:val="both"/>
      </w:pPr>
      <w:r>
        <w:rPr>
          <w:sz w:val="20"/>
        </w:rPr>
        <w:t xml:space="preserve">ФР - финансовые расходы, включающие в себя расходы на выплату процентов и комиссионных по привлеченным кредитам и займам, расходы на выплату штрафов и пени по привлеченным кредитам и займам, расходы на создание резервов на возможные потери по займам;</w:t>
      </w:r>
    </w:p>
    <w:p>
      <w:pPr>
        <w:pStyle w:val="0"/>
        <w:spacing w:before="200" w:lineRule="auto"/>
        <w:ind w:firstLine="540"/>
        <w:jc w:val="both"/>
      </w:pPr>
      <w:r>
        <w:rPr>
          <w:sz w:val="20"/>
        </w:rPr>
        <w:t xml:space="preserve">У</w:t>
      </w:r>
      <w:r>
        <w:rPr>
          <w:sz w:val="20"/>
          <w:vertAlign w:val="subscript"/>
        </w:rPr>
        <w:t xml:space="preserve">микр</w:t>
      </w:r>
      <w:r>
        <w:rPr>
          <w:sz w:val="20"/>
        </w:rPr>
        <w:t xml:space="preserve"> - убытки от потерь по микрозаймам, рассчитываемые как сумма списанной безнадежной задолженности субъектов МСП, а также организаций, образующих инфраструктуру поддержки субъектов МСП;</w:t>
      </w:r>
    </w:p>
    <w:p>
      <w:pPr>
        <w:pStyle w:val="0"/>
        <w:spacing w:before="200" w:lineRule="auto"/>
        <w:ind w:firstLine="540"/>
        <w:jc w:val="both"/>
      </w:pPr>
      <w:r>
        <w:rPr>
          <w:sz w:val="20"/>
        </w:rPr>
        <w:t xml:space="preserve">ОР - операционные расходы, включающие в себя все общехозяйственные и управленческие расходы и затраты ГМФО, связанные с микрофинансовой деятельностью, за отчетный период, включая аренду, заработную плату, информационное обеспечение, услуги связи, налог на прибыль организаций.</w:t>
      </w:r>
    </w:p>
    <w:p>
      <w:pPr>
        <w:pStyle w:val="0"/>
        <w:spacing w:before="200" w:lineRule="auto"/>
        <w:ind w:firstLine="540"/>
        <w:jc w:val="both"/>
      </w:pPr>
      <w:r>
        <w:rPr>
          <w:sz w:val="20"/>
        </w:rPr>
        <w:t xml:space="preserve">2.13.5. Показатель "Операционная эффективность" (ОЭ) ГМФО не должен превышать 30% и рассчитывается по следующей формуле:</w:t>
      </w:r>
    </w:p>
    <w:p>
      <w:pPr>
        <w:pStyle w:val="0"/>
        <w:jc w:val="center"/>
      </w:pPr>
      <w:r>
        <w:rPr>
          <w:sz w:val="20"/>
        </w:rPr>
      </w:r>
    </w:p>
    <w:p>
      <w:pPr>
        <w:pStyle w:val="0"/>
        <w:jc w:val="center"/>
      </w:pPr>
      <w:r>
        <w:rPr>
          <w:position w:val="-23"/>
        </w:rPr>
        <w:drawing>
          <wp:inline distT="0" distB="0" distL="0" distR="0">
            <wp:extent cx="12192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ОР - операционные расходы, включающие в себя все общехозяйственные и управленческие расходы и затраты ГМФО, связанные с микрофинансовой деятельностью, за отчетный период, включая аренду, заработную плату, информационное обеспечение, услуги связи, налог на прибыль организаций;</w:t>
      </w:r>
    </w:p>
    <w:p>
      <w:pPr>
        <w:pStyle w:val="0"/>
        <w:spacing w:before="200" w:lineRule="auto"/>
        <w:ind w:firstLine="540"/>
        <w:jc w:val="both"/>
      </w:pPr>
      <w:r>
        <w:rPr>
          <w:sz w:val="20"/>
        </w:rPr>
        <w:t xml:space="preserve">СДПМ - средний действующий портфель микрозаймов за отчетный период, рассчитываемый как среднеарифметическое значение остатка задолженности субъектов МСП, а также организаций, образующих инфраструктуру поддержки субъектов МСП, по основному долгу перед ГМФО на начало и на конец отчетного периода.</w:t>
      </w:r>
    </w:p>
    <w:bookmarkStart w:id="200" w:name="P200"/>
    <w:bookmarkEnd w:id="200"/>
    <w:p>
      <w:pPr>
        <w:pStyle w:val="0"/>
        <w:spacing w:before="200" w:lineRule="auto"/>
        <w:ind w:firstLine="540"/>
        <w:jc w:val="both"/>
      </w:pPr>
      <w:r>
        <w:rPr>
          <w:sz w:val="20"/>
        </w:rPr>
        <w:t xml:space="preserve">2.13.6. Показатель "Риск портфеля &gt; 30 дней" ГМФО не должен превышать 12% и рассчитывается по следующей формуле:</w:t>
      </w:r>
    </w:p>
    <w:p>
      <w:pPr>
        <w:pStyle w:val="0"/>
        <w:ind w:firstLine="540"/>
        <w:jc w:val="both"/>
      </w:pPr>
      <w:r>
        <w:rPr>
          <w:sz w:val="20"/>
        </w:rPr>
      </w:r>
    </w:p>
    <w:p>
      <w:pPr>
        <w:pStyle w:val="0"/>
        <w:jc w:val="center"/>
      </w:pPr>
      <w:r>
        <w:rPr>
          <w:position w:val="-23"/>
        </w:rPr>
        <w:drawing>
          <wp:inline distT="0" distB="0" distL="0" distR="0">
            <wp:extent cx="27336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733675" cy="4191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ДПМ</w:t>
      </w:r>
      <w:r>
        <w:rPr>
          <w:sz w:val="20"/>
          <w:vertAlign w:val="subscript"/>
        </w:rPr>
        <w:t xml:space="preserve">&gt;30п</w:t>
      </w:r>
      <w:r>
        <w:rPr>
          <w:sz w:val="20"/>
        </w:rPr>
        <w:t xml:space="preserve"> - действующий портфель микрозаймов с просрочкой &gt; 30 дней (без учета начисленных процентов, штрафов и пени),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 (без учета начисленных процентов, штрафов и пени), задержка очередного платежа по которому составляет более 30 календарных дней;</w:t>
      </w:r>
    </w:p>
    <w:p>
      <w:pPr>
        <w:pStyle w:val="0"/>
        <w:spacing w:before="200" w:lineRule="auto"/>
        <w:ind w:firstLine="540"/>
        <w:jc w:val="both"/>
      </w:pPr>
      <w:r>
        <w:rPr>
          <w:sz w:val="20"/>
        </w:rPr>
        <w:t xml:space="preserve">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pPr>
        <w:pStyle w:val="0"/>
        <w:spacing w:before="200" w:lineRule="auto"/>
        <w:ind w:firstLine="540"/>
        <w:jc w:val="both"/>
      </w:pPr>
      <w:r>
        <w:rPr>
          <w:sz w:val="20"/>
        </w:rPr>
        <w:t xml:space="preserve">2.13.7. Показатель "Коэффициент списания" (КС) ГМФО не должен превышать 5% и рассчитывается по следующей формуле:</w:t>
      </w:r>
    </w:p>
    <w:p>
      <w:pPr>
        <w:pStyle w:val="0"/>
        <w:ind w:firstLine="540"/>
        <w:jc w:val="both"/>
      </w:pPr>
      <w:r>
        <w:rPr>
          <w:sz w:val="20"/>
        </w:rPr>
      </w:r>
    </w:p>
    <w:p>
      <w:pPr>
        <w:pStyle w:val="0"/>
        <w:jc w:val="center"/>
      </w:pPr>
      <w:r>
        <w:rPr>
          <w:position w:val="-23"/>
        </w:rPr>
        <w:drawing>
          <wp:inline distT="0" distB="0" distL="0" distR="0">
            <wp:extent cx="11144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ССМ - сумма списанных микрозаймов за 3 года, предшествующие отчетному периоду, рассчитываемая как сумма списанной безнадежной задолженности ГМФО за 3 года, предшествующих отчетному периоду;</w:t>
      </w:r>
    </w:p>
    <w:p>
      <w:pPr>
        <w:pStyle w:val="0"/>
        <w:spacing w:before="200" w:lineRule="auto"/>
        <w:ind w:firstLine="540"/>
        <w:jc w:val="both"/>
      </w:pPr>
      <w:r>
        <w:rPr>
          <w:sz w:val="20"/>
        </w:rPr>
        <w:t xml:space="preserve">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pPr>
        <w:pStyle w:val="0"/>
        <w:spacing w:before="200" w:lineRule="auto"/>
        <w:ind w:firstLine="540"/>
        <w:jc w:val="both"/>
      </w:pPr>
      <w:r>
        <w:rPr>
          <w:sz w:val="20"/>
        </w:rPr>
        <w:t xml:space="preserve">2.13.8. Показатель "Доля уникальных выдач микрозаймов" (УВ) ГМФО рассчитывается по следующей формуле:</w:t>
      </w:r>
    </w:p>
    <w:p>
      <w:pPr>
        <w:pStyle w:val="0"/>
        <w:ind w:firstLine="540"/>
        <w:jc w:val="both"/>
      </w:pPr>
      <w:r>
        <w:rPr>
          <w:sz w:val="20"/>
        </w:rPr>
      </w:r>
    </w:p>
    <w:p>
      <w:pPr>
        <w:pStyle w:val="0"/>
        <w:jc w:val="center"/>
      </w:pPr>
      <w:r>
        <w:rPr>
          <w:position w:val="-20"/>
        </w:rPr>
        <w:drawing>
          <wp:inline distT="0" distB="0" distL="0" distR="0">
            <wp:extent cx="9048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З - количество заемщиков по договорам микрозайма за отчетный период;</w:t>
      </w:r>
    </w:p>
    <w:p>
      <w:pPr>
        <w:pStyle w:val="0"/>
        <w:spacing w:before="200" w:lineRule="auto"/>
        <w:ind w:firstLine="540"/>
        <w:jc w:val="both"/>
      </w:pPr>
      <w:r>
        <w:rPr>
          <w:sz w:val="20"/>
        </w:rPr>
        <w:t xml:space="preserve">М - количество договоров микрозайма, по которым впервые осуществлена фактическая выдача средств микрозайма (части средств микрозайма) с 1 января по 31 декабря отчетного года.</w:t>
      </w:r>
    </w:p>
    <w:p>
      <w:pPr>
        <w:pStyle w:val="0"/>
        <w:spacing w:before="200" w:lineRule="auto"/>
        <w:ind w:firstLine="540"/>
        <w:jc w:val="both"/>
      </w:pPr>
      <w:r>
        <w:rPr>
          <w:sz w:val="20"/>
        </w:rPr>
        <w:t xml:space="preserve">Показатель УВ должен составлять не менее 80% на конец отчетного периода в общем количестве микрозаймов, предоставленных ГМФО за отчетный период.</w:t>
      </w:r>
    </w:p>
    <w:bookmarkStart w:id="221" w:name="P221"/>
    <w:bookmarkEnd w:id="221"/>
    <w:p>
      <w:pPr>
        <w:pStyle w:val="0"/>
        <w:spacing w:before="200" w:lineRule="auto"/>
        <w:ind w:firstLine="540"/>
        <w:jc w:val="both"/>
      </w:pPr>
      <w:r>
        <w:rPr>
          <w:sz w:val="20"/>
        </w:rPr>
        <w:t xml:space="preserve">2.13.9. Показатель "Рентабельность активов" (РА) ГМФО должен превышать 0% по состоянию на конец отчетного календарного года и рассчитывается по следующей формуле:</w:t>
      </w:r>
    </w:p>
    <w:p>
      <w:pPr>
        <w:pStyle w:val="0"/>
        <w:jc w:val="center"/>
      </w:pPr>
      <w:r>
        <w:rPr>
          <w:sz w:val="20"/>
        </w:rPr>
      </w:r>
    </w:p>
    <w:p>
      <w:pPr>
        <w:pStyle w:val="0"/>
        <w:jc w:val="center"/>
      </w:pPr>
      <w:r>
        <w:rPr>
          <w:position w:val="-23"/>
        </w:rPr>
        <w:drawing>
          <wp:inline distT="0" distB="0" distL="0" distR="0">
            <wp:extent cx="10287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СД</w:t>
      </w:r>
      <w:r>
        <w:rPr>
          <w:sz w:val="20"/>
          <w:vertAlign w:val="subscript"/>
        </w:rPr>
        <w:t xml:space="preserve">У</w:t>
      </w:r>
      <w:r>
        <w:rPr>
          <w:sz w:val="20"/>
        </w:rPr>
        <w:t xml:space="preserve"> - совокупный доход (убыток) как сальдо доходов и расходов ГМФО по микрофинансовой деятельности, рассчитываемое в порядке, предусмотренном для отражения по </w:t>
      </w:r>
      <w:hyperlink w:history="0" r:id="rId44" w:tooltip="Положение Банка России от 02.10.2024 N 844-П &quot;О формах раскрытия информации в годовой бухгалтерской (финансовой) отчетности отдельных некредитных финансовых организаций, бюро кредитных историй, кредитных рейтинговых агентств и порядке группировки счетов бухгалтерского учета в соответствии с показателями годовой бухгалтерской (финансовой) отчетности&quot; (Зарегистрировано в Минюсте России 07.11.2024 N 80060) {КонсультантПлюс}">
        <w:r>
          <w:rPr>
            <w:sz w:val="20"/>
            <w:color w:val="0000ff"/>
          </w:rPr>
          <w:t xml:space="preserve">строке 26</w:t>
        </w:r>
      </w:hyperlink>
      <w:r>
        <w:rPr>
          <w:sz w:val="20"/>
        </w:rPr>
        <w:t xml:space="preserve"> "Итого совокупного дохода (расхода)" отчета о финансовых результатах организаций, установленного приложением N 2 к Положению Банка России от 2 октября 2024 г. N 844-П "О формах раскрытия информации в годовой бухгалтерской (финансовой) отчетности отдельных некредитных финансовых организаций, бюро кредитных историй, кредитных рейтинговых агентств и порядке группировки счетов бухгалтерского учета в соответствии с показателями годовой бухгалтерской (финансовой) отчетности" &lt;6&gt;, либо значение, отраженное по </w:t>
      </w:r>
      <w:hyperlink w:history="0" r:id="rId45" w:tooltip="Положение Банка России от 25.10.2017 N 614-П (ред. от 02.10.2024) &quot;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quot; (Зарегистрировано в Минюсте России 11.12.2017 N 49202) {КонсультантПлюс}">
        <w:r>
          <w:rPr>
            <w:sz w:val="20"/>
            <w:color w:val="0000ff"/>
          </w:rPr>
          <w:t xml:space="preserve">строке 61</w:t>
        </w:r>
      </w:hyperlink>
      <w:r>
        <w:rPr>
          <w:sz w:val="20"/>
        </w:rPr>
        <w:t xml:space="preserve"> "Итого совокупного дохода (убытка) за отчетный период" отчета о финансовых результатах микрофинансовой организации в форме хозяйственного общества или товарищества, ломбарда, установленного приложением N 2 к Положению Банка России от 25 октября 2017 г. N 614-П "О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 &lt;7&gt; (далее - Положение N 614-П), или по </w:t>
      </w:r>
      <w:hyperlink w:history="0" r:id="rId46" w:tooltip="Положение Банка России от 25.10.2017 N 614-П (ред. от 02.10.2024) &quot;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quot; (Зарегистрировано в Минюсте России 11.12.2017 N 49202) {КонсультантПлюс}">
        <w:r>
          <w:rPr>
            <w:sz w:val="20"/>
            <w:color w:val="0000ff"/>
          </w:rPr>
          <w:t xml:space="preserve">строке 63</w:t>
        </w:r>
      </w:hyperlink>
      <w:r>
        <w:rPr>
          <w:sz w:val="20"/>
        </w:rPr>
        <w:t xml:space="preserve"> "Итого совокупного дохода (убытка) за отчетный период" отчета о финансовых результатах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 установленного приложением N 7 к Положению N 614-П;</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Зарегистрировано Минюстом России 7 ноября 2024 г., регистрационный N 80060.</w:t>
      </w:r>
    </w:p>
    <w:p>
      <w:pPr>
        <w:pStyle w:val="0"/>
        <w:spacing w:before="200" w:lineRule="auto"/>
        <w:ind w:firstLine="540"/>
        <w:jc w:val="both"/>
      </w:pPr>
      <w:r>
        <w:rPr>
          <w:sz w:val="20"/>
        </w:rPr>
        <w:t xml:space="preserve">&lt;7&gt; Зарегистрировано Минюстом России 11 декабря 2017 г., регистрационный N 49202 с изменениями, внесенными указаниями Банка России от 14 февраля 2018 г. N 4721-У (зарегистрировано Минюстом России 13 марта 2018 г., регистрационный N 50326), от 10 июня 2019 г. N 5168-У (зарегистрировано Минюстом России 8 июля 2019 г., регистрационный N 55165), от 24 февраля 2021 г. N 5742-У (зарегистрировано Минюстом России 29 марта 2021 г., регистрационный N 62913), от 9 сентября 2021 г. N 5919-У (зарегистрировано Минюстом России 13 октября 2021 г., регистрационный N 65390), от 18 сентября 2023 г. N 6527-У (зарегистрировано Минюстом России 23 октября 2023 г., регистрационный N 75697), от 2 октября 2024 г. N 6887-У (зарегистрировано Минюстом России 8 ноября 2024 г., регистрационный N 80071).</w:t>
      </w:r>
    </w:p>
    <w:p>
      <w:pPr>
        <w:pStyle w:val="0"/>
        <w:ind w:firstLine="540"/>
        <w:jc w:val="both"/>
      </w:pPr>
      <w:r>
        <w:rPr>
          <w:sz w:val="20"/>
        </w:rPr>
      </w:r>
    </w:p>
    <w:p>
      <w:pPr>
        <w:pStyle w:val="0"/>
        <w:ind w:firstLine="540"/>
        <w:jc w:val="both"/>
      </w:pPr>
      <w:r>
        <w:rPr>
          <w:sz w:val="20"/>
        </w:rPr>
        <w:t xml:space="preserve">А - активы ГМФО, относящиеся к микрофинансовой деятельности.</w:t>
      </w:r>
    </w:p>
    <w:p>
      <w:pPr>
        <w:pStyle w:val="0"/>
        <w:spacing w:before="200" w:lineRule="auto"/>
        <w:ind w:firstLine="540"/>
        <w:jc w:val="both"/>
      </w:pPr>
      <w:r>
        <w:rPr>
          <w:sz w:val="20"/>
        </w:rPr>
        <w:t xml:space="preserve">2.14. ГМФО должна формировать резервы на возможные потери по микрозаймам (займам) (далее - резервы) на основании порядка формирования резервов, установленного Банком России в соответствии с </w:t>
      </w:r>
      <w:hyperlink w:history="0" r:id="rId47" w:tooltip="Указание Банка России от 20.01.2020 N 5391-У (ред. от 29.09.2023) &quot;О порядке формирования микрофинансовыми организациями резервов на возможные потери по займам&quot; (Зарегистрировано в Минюсте России 25.02.2020 N 57599) {КонсультантПлюс}">
        <w:r>
          <w:rPr>
            <w:sz w:val="20"/>
            <w:color w:val="0000ff"/>
          </w:rPr>
          <w:t xml:space="preserve">Указанием</w:t>
        </w:r>
      </w:hyperlink>
      <w:r>
        <w:rPr>
          <w:sz w:val="20"/>
        </w:rPr>
        <w:t xml:space="preserve"> Банка России от 20 января 2020 г. N 5391-У "О порядке формирования микрофинансовыми организациями резервов на возможные потери по займам"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Зарегистрировано Минюстом России 25 февраля 2020 г., регистрационный N 57599 с изменениями, внесенными указаниями Банка России от 29 июня 2022 г. N 6178-У (зарегистрировано Минюстом России 24 августа 2022 г., регистрационный N 69772), от 29 сентября 2023 г. N 6550-У (зарегистрировано Минюстом России 3 ноября 2023 г., регистрационный N 75848).</w:t>
      </w:r>
    </w:p>
    <w:p>
      <w:pPr>
        <w:pStyle w:val="0"/>
        <w:ind w:firstLine="540"/>
        <w:jc w:val="both"/>
      </w:pPr>
      <w:r>
        <w:rPr>
          <w:sz w:val="20"/>
        </w:rPr>
      </w:r>
    </w:p>
    <w:p>
      <w:pPr>
        <w:pStyle w:val="0"/>
        <w:ind w:firstLine="540"/>
        <w:jc w:val="both"/>
      </w:pPr>
      <w:r>
        <w:rPr>
          <w:sz w:val="20"/>
        </w:rPr>
        <w:t xml:space="preserve">Правила и условия списания безнадежной задолженности устанавливаются учетной политикой ГМФО.</w:t>
      </w:r>
    </w:p>
    <w:p>
      <w:pPr>
        <w:pStyle w:val="0"/>
        <w:spacing w:before="200" w:lineRule="auto"/>
        <w:ind w:firstLine="540"/>
        <w:jc w:val="both"/>
      </w:pPr>
      <w:r>
        <w:rPr>
          <w:sz w:val="20"/>
        </w:rPr>
        <w:t xml:space="preserve">Списание ГМФО безнадежной задолженности за счет сформированного по ней резерва осуществляется по решению уполномоченного органа ГМФО не реже одного раза в год (при наличии безнадежной задолженности).</w:t>
      </w:r>
    </w:p>
    <w:bookmarkStart w:id="238" w:name="P238"/>
    <w:bookmarkEnd w:id="238"/>
    <w:p>
      <w:pPr>
        <w:pStyle w:val="0"/>
        <w:spacing w:before="200" w:lineRule="auto"/>
        <w:ind w:firstLine="540"/>
        <w:jc w:val="both"/>
      </w:pPr>
      <w:r>
        <w:rPr>
          <w:sz w:val="20"/>
        </w:rPr>
        <w:t xml:space="preserve">2.15. ГМФО должны ежегодно проводить обязательный аудит бухгалтерской (финансовой) отчетности до 31 марта года, следующего за отчетным.</w:t>
      </w:r>
    </w:p>
    <w:p>
      <w:pPr>
        <w:pStyle w:val="0"/>
        <w:spacing w:before="200" w:lineRule="auto"/>
        <w:ind w:firstLine="540"/>
        <w:jc w:val="both"/>
      </w:pPr>
      <w:r>
        <w:rPr>
          <w:sz w:val="20"/>
        </w:rPr>
        <w:t xml:space="preserve">Отбор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осуществляется на конкурсной основе.</w:t>
      </w:r>
    </w:p>
    <w:p>
      <w:pPr>
        <w:pStyle w:val="0"/>
        <w:spacing w:before="200" w:lineRule="auto"/>
        <w:ind w:firstLine="540"/>
        <w:jc w:val="both"/>
      </w:pPr>
      <w:r>
        <w:rPr>
          <w:sz w:val="20"/>
        </w:rPr>
        <w:t xml:space="preserve">2.15.1. Информация, представляемая ГМФО в соответствии с </w:t>
      </w:r>
      <w:hyperlink w:history="0" w:anchor="P77" w:tooltip="а) проведения ежегодного ранжирования акционерным обществом &quot;Федеральная корпорация по развитию малого и среднего предпринимательства&quot; (далее - Корпорация МСП) с присвоением ранга, характеризующего степень финансовой устойчивости и эффективность деятельности ГМФО как участника национальной гарантийной системы, а также ежегодной оценки Корпорации МСП соблюдения ГМФО требований, указанных в статье 15.4 Федерального закона N 209-ФЗ (ежегодно);">
        <w:r>
          <w:rPr>
            <w:sz w:val="20"/>
            <w:color w:val="0000ff"/>
          </w:rPr>
          <w:t xml:space="preserve">подпунктом "а" подпункта 2.3 пункта 2</w:t>
        </w:r>
      </w:hyperlink>
      <w:r>
        <w:rPr>
          <w:sz w:val="20"/>
        </w:rPr>
        <w:t xml:space="preserve"> настоящих Требований, подлежит аудиту в рамках ежегодного аудита в соответствии с </w:t>
      </w:r>
      <w:hyperlink w:history="0" w:anchor="P238" w:tooltip="2.15. ГМФО должны ежегодно проводить обязательный аудит бухгалтерской (финансовой) отчетности до 31 марта года, следующего за отчетным.">
        <w:r>
          <w:rPr>
            <w:sz w:val="20"/>
            <w:color w:val="0000ff"/>
          </w:rPr>
          <w:t xml:space="preserve">подпунктом 2.15 пункта 2</w:t>
        </w:r>
      </w:hyperlink>
      <w:r>
        <w:rPr>
          <w:sz w:val="20"/>
        </w:rPr>
        <w:t xml:space="preserve"> настоящих Требований.</w:t>
      </w:r>
    </w:p>
    <w:p>
      <w:pPr>
        <w:pStyle w:val="0"/>
        <w:spacing w:before="200" w:lineRule="auto"/>
        <w:ind w:firstLine="540"/>
        <w:jc w:val="both"/>
      </w:pPr>
      <w:r>
        <w:rPr>
          <w:sz w:val="20"/>
        </w:rPr>
        <w:t xml:space="preserve">2.15.2. Для участия в отборе аудиторской организации или индивидуального аудитора, предусмотренном </w:t>
      </w:r>
      <w:hyperlink w:history="0" r:id="rId48" w:tooltip="Указание Банка России от 20.01.2020 N 5391-У (ред. от 29.09.2023) &quot;О порядке формирования микрофинансовыми организациями резервов на возможные потери по займам&quot; (Зарегистрировано в Минюсте России 25.02.2020 N 57599) {КонсультантПлюс}">
        <w:r>
          <w:rPr>
            <w:sz w:val="20"/>
            <w:color w:val="0000ff"/>
          </w:rPr>
          <w:t xml:space="preserve">подпунктом 2.15 пункта 2</w:t>
        </w:r>
      </w:hyperlink>
      <w:r>
        <w:rPr>
          <w:sz w:val="20"/>
        </w:rPr>
        <w:t xml:space="preserve"> настоящих Требований, аудиторская организация или индивидуальный аудитор должны соответствовать требованиям, предусмотренным </w:t>
      </w:r>
      <w:hyperlink w:history="0" r:id="rId49" w:tooltip="Федеральный закон от 30.12.2008 N 307-ФЗ (ред. от 25.10.2024) &quot;Об аудиторской деятельности&quot; {КонсультантПлюс}">
        <w:r>
          <w:rPr>
            <w:sz w:val="20"/>
            <w:color w:val="0000ff"/>
          </w:rPr>
          <w:t xml:space="preserve">статьями 3</w:t>
        </w:r>
      </w:hyperlink>
      <w:r>
        <w:rPr>
          <w:sz w:val="20"/>
        </w:rPr>
        <w:t xml:space="preserve">, </w:t>
      </w:r>
      <w:hyperlink w:history="0" r:id="rId50" w:tooltip="Федеральный закон от 30.12.2008 N 307-ФЗ (ред. от 25.10.2024) &quot;Об аудиторской деятельности&quot; {КонсультантПлюс}">
        <w:r>
          <w:rPr>
            <w:sz w:val="20"/>
            <w:color w:val="0000ff"/>
          </w:rPr>
          <w:t xml:space="preserve">4</w:t>
        </w:r>
      </w:hyperlink>
      <w:r>
        <w:rPr>
          <w:sz w:val="20"/>
        </w:rPr>
        <w:t xml:space="preserve">, </w:t>
      </w:r>
      <w:hyperlink w:history="0" r:id="rId51" w:tooltip="Федеральный закон от 30.12.2008 N 307-ФЗ (ред. от 25.10.2024) &quot;Об аудиторской деятельности&quot; {КонсультантПлюс}">
        <w:r>
          <w:rPr>
            <w:sz w:val="20"/>
            <w:color w:val="0000ff"/>
          </w:rPr>
          <w:t xml:space="preserve">8</w:t>
        </w:r>
      </w:hyperlink>
      <w:r>
        <w:rPr>
          <w:sz w:val="20"/>
        </w:rPr>
        <w:t xml:space="preserve">, </w:t>
      </w:r>
      <w:hyperlink w:history="0" r:id="rId52" w:tooltip="Федеральный закон от 30.12.2008 N 307-ФЗ (ред. от 25.10.2024) &quot;Об аудиторской деятельности&quot; {КонсультантПлюс}">
        <w:r>
          <w:rPr>
            <w:sz w:val="20"/>
            <w:color w:val="0000ff"/>
          </w:rPr>
          <w:t xml:space="preserve">10</w:t>
        </w:r>
      </w:hyperlink>
      <w:r>
        <w:rPr>
          <w:sz w:val="20"/>
        </w:rPr>
        <w:t xml:space="preserve"> и </w:t>
      </w:r>
      <w:hyperlink w:history="0" r:id="rId53" w:tooltip="Федеральный закон от 30.12.2008 N 307-ФЗ (ред. от 25.10.2024) &quot;Об аудиторской деятельности&quot; {КонсультантПлюс}">
        <w:r>
          <w:rPr>
            <w:sz w:val="20"/>
            <w:color w:val="0000ff"/>
          </w:rPr>
          <w:t xml:space="preserve">18</w:t>
        </w:r>
      </w:hyperlink>
      <w:r>
        <w:rPr>
          <w:sz w:val="20"/>
        </w:rPr>
        <w:t xml:space="preserve"> Федерального закона от 30 декабря 2008 г. N 307-ФЗ "Об аудиторской деятельности" (далее - Федеральный закон N 307-ФЗ). Информация об аудиторской организации или индивидуальном аудиторе, в том числе информация об учредителях, о членах коллегиального исполнительного органа, лице, исполняющем функции единоличного исполнительного органа аудиторской организации, должна отсутствовать в предусмотренных Федеральным </w:t>
      </w:r>
      <w:hyperlink w:history="0" r:id="rId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законом</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Федеральным </w:t>
      </w:r>
      <w:hyperlink w:history="0" r:id="rId5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 N 223-ФЗ "О закупках товаров, работ, услуг отдельными видами юридических лиц" (далее - Федеральный закон N 223-ФЗ) реестрах недобросовестных поставщиков (подрядчиков, исполнителей).</w:t>
      </w:r>
    </w:p>
    <w:bookmarkStart w:id="242" w:name="P242"/>
    <w:bookmarkEnd w:id="242"/>
    <w:p>
      <w:pPr>
        <w:pStyle w:val="0"/>
        <w:spacing w:before="200" w:lineRule="auto"/>
        <w:ind w:firstLine="540"/>
        <w:jc w:val="both"/>
      </w:pPr>
      <w:r>
        <w:rPr>
          <w:sz w:val="20"/>
        </w:rPr>
        <w:t xml:space="preserve">2.15.3. ГМФО, проведение аудита которых предусмотрено </w:t>
      </w:r>
      <w:hyperlink w:history="0" r:id="rId56" w:tooltip="Федеральный закон от 30.12.2008 N 307-ФЗ (ред. от 25.10.2024) &quot;Об аудиторской деятельности&quot; {КонсультантПлюс}">
        <w:r>
          <w:rPr>
            <w:sz w:val="20"/>
            <w:color w:val="0000ff"/>
          </w:rPr>
          <w:t xml:space="preserve">частью 4 статьи 5</w:t>
        </w:r>
      </w:hyperlink>
      <w:r>
        <w:rPr>
          <w:sz w:val="20"/>
        </w:rPr>
        <w:t xml:space="preserve"> Федерального закона N 307-ФЗ, определяют аудиторскую организацию по результатам проведения не реже чем один раз в 5 лет электронного конкурса в порядке, предусмотренном </w:t>
      </w:r>
      <w:hyperlink w:history="0" r:id="rId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статьей 48</w:t>
        </w:r>
      </w:hyperlink>
      <w:r>
        <w:rPr>
          <w:sz w:val="20"/>
        </w:rPr>
        <w:t xml:space="preserve"> Федерального закона N 44-ФЗ.</w:t>
      </w:r>
    </w:p>
    <w:p>
      <w:pPr>
        <w:pStyle w:val="0"/>
        <w:spacing w:before="200" w:lineRule="auto"/>
        <w:ind w:firstLine="540"/>
        <w:jc w:val="both"/>
      </w:pPr>
      <w:r>
        <w:rPr>
          <w:sz w:val="20"/>
        </w:rPr>
        <w:t xml:space="preserve">ГМФО определяют аудиторскую организацию путем открытого конкурса в порядке, предусмотренном Федеральным </w:t>
      </w:r>
      <w:hyperlink w:history="0" r:id="rId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N 223-ФЗ, в случае отнесения ГМФО к организациям, определенным </w:t>
      </w:r>
      <w:hyperlink w:history="0" r:id="rId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пунктом 1 части 2 статьи 1</w:t>
        </w:r>
      </w:hyperlink>
      <w:r>
        <w:rPr>
          <w:sz w:val="20"/>
        </w:rPr>
        <w:t xml:space="preserve"> Федерального закона N 223-ФЗ.</w:t>
      </w:r>
    </w:p>
    <w:p>
      <w:pPr>
        <w:pStyle w:val="0"/>
        <w:spacing w:before="200" w:lineRule="auto"/>
        <w:ind w:firstLine="540"/>
        <w:jc w:val="both"/>
      </w:pPr>
      <w:r>
        <w:rPr>
          <w:sz w:val="20"/>
        </w:rPr>
        <w:t xml:space="preserve">2.15.4. Отбор аудиторской организации для ГМФО, не указанных в </w:t>
      </w:r>
      <w:hyperlink w:history="0" w:anchor="P242" w:tooltip="2.15.3. ГМФО, проведение аудита которых предусмотрено частью 4 статьи 5 Федерального закона N 307-ФЗ, определяют аудиторскую организацию по результатам проведения не реже чем один раз в 5 лет электронного конкурса в порядке, предусмотренном статьей 48 Федерального закона N 44-ФЗ.">
        <w:r>
          <w:rPr>
            <w:sz w:val="20"/>
            <w:color w:val="0000ff"/>
          </w:rPr>
          <w:t xml:space="preserve">подпункте 2.15.3 пункта 2</w:t>
        </w:r>
      </w:hyperlink>
      <w:r>
        <w:rPr>
          <w:sz w:val="20"/>
        </w:rPr>
        <w:t xml:space="preserve"> настоящих Требований, а также индивидуального аудитора проводится на основании открытого конкурса с соблюдением следующих требований:</w:t>
      </w:r>
    </w:p>
    <w:p>
      <w:pPr>
        <w:pStyle w:val="0"/>
        <w:spacing w:before="200" w:lineRule="auto"/>
        <w:ind w:firstLine="540"/>
        <w:jc w:val="both"/>
      </w:pPr>
      <w:r>
        <w:rPr>
          <w:sz w:val="20"/>
        </w:rPr>
        <w:t xml:space="preserve">а) проведение отбора не реже чем один раз в 5 лет;</w:t>
      </w:r>
    </w:p>
    <w:p>
      <w:pPr>
        <w:pStyle w:val="0"/>
        <w:spacing w:before="200" w:lineRule="auto"/>
        <w:ind w:firstLine="540"/>
        <w:jc w:val="both"/>
      </w:pPr>
      <w:r>
        <w:rPr>
          <w:sz w:val="20"/>
        </w:rPr>
        <w:t xml:space="preserve">б) размещение информации о проведении отбора аудиторской организации и (или) индивидуального аудитора в средствах массовой информации или на официальном сайте ГМФО в сети "Интернет";</w:t>
      </w:r>
    </w:p>
    <w:p>
      <w:pPr>
        <w:pStyle w:val="0"/>
        <w:spacing w:before="200" w:lineRule="auto"/>
        <w:ind w:firstLine="540"/>
        <w:jc w:val="both"/>
      </w:pPr>
      <w:r>
        <w:rPr>
          <w:sz w:val="20"/>
        </w:rPr>
        <w:t xml:space="preserve">в) опубликование ГМФО извещения о проведении отбора не позднее чем за 30 календарных дней до дня его проведения;</w:t>
      </w:r>
    </w:p>
    <w:p>
      <w:pPr>
        <w:pStyle w:val="0"/>
        <w:spacing w:before="200" w:lineRule="auto"/>
        <w:ind w:firstLine="540"/>
        <w:jc w:val="both"/>
      </w:pPr>
      <w:r>
        <w:rPr>
          <w:sz w:val="20"/>
        </w:rPr>
        <w:t xml:space="preserve">г) заключение договора с аудиторской организацией и (или) индивидуальным аудитором в срок не позднее 20 календарных дней со дня окончания отбора.</w:t>
      </w:r>
    </w:p>
    <w:p>
      <w:pPr>
        <w:pStyle w:val="0"/>
        <w:spacing w:before="200" w:lineRule="auto"/>
        <w:ind w:firstLine="540"/>
        <w:jc w:val="both"/>
      </w:pPr>
      <w:r>
        <w:rPr>
          <w:sz w:val="20"/>
        </w:rPr>
        <w:t xml:space="preserve">2.16. ГМФО должна быть зарегистрирована в качестве организации, образующей инфраструктуру поддержки субъектов МСП,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(далее - ЦП МСП).</w:t>
      </w:r>
    </w:p>
    <w:p>
      <w:pPr>
        <w:pStyle w:val="0"/>
        <w:spacing w:before="200" w:lineRule="auto"/>
        <w:ind w:firstLine="540"/>
        <w:jc w:val="both"/>
      </w:pPr>
      <w:r>
        <w:rPr>
          <w:sz w:val="20"/>
        </w:rPr>
        <w:t xml:space="preserve">2.16.1. ГМФО на ЦП МСП должна обеспечивать:</w:t>
      </w:r>
    </w:p>
    <w:p>
      <w:pPr>
        <w:pStyle w:val="0"/>
        <w:spacing w:before="200" w:lineRule="auto"/>
        <w:ind w:firstLine="540"/>
        <w:jc w:val="both"/>
      </w:pPr>
      <w:r>
        <w:rPr>
          <w:sz w:val="20"/>
        </w:rPr>
        <w:t xml:space="preserve">а) внесение и актуализацию сведений о ГМФО на ЦП МСП;</w:t>
      </w:r>
    </w:p>
    <w:p>
      <w:pPr>
        <w:pStyle w:val="0"/>
        <w:spacing w:before="200" w:lineRule="auto"/>
        <w:ind w:firstLine="540"/>
        <w:jc w:val="both"/>
      </w:pPr>
      <w:r>
        <w:rPr>
          <w:sz w:val="20"/>
        </w:rPr>
        <w:t xml:space="preserve">б) внесение и актуализацию сведений об услугах (мерах поддержки), оказываемых ГМФО, на ЦП МСП;</w:t>
      </w:r>
    </w:p>
    <w:p>
      <w:pPr>
        <w:pStyle w:val="0"/>
        <w:spacing w:before="200" w:lineRule="auto"/>
        <w:ind w:firstLine="540"/>
        <w:jc w:val="both"/>
      </w:pPr>
      <w:r>
        <w:rPr>
          <w:sz w:val="20"/>
        </w:rPr>
        <w:t xml:space="preserve">в) оказание услуг и мер поддержки в соответствии с функционалом ЦП МСП в случае подачи заявки с использованием ЦП МСП;</w:t>
      </w:r>
    </w:p>
    <w:p>
      <w:pPr>
        <w:pStyle w:val="0"/>
        <w:spacing w:before="200" w:lineRule="auto"/>
        <w:ind w:firstLine="540"/>
        <w:jc w:val="both"/>
      </w:pPr>
      <w:r>
        <w:rPr>
          <w:sz w:val="20"/>
        </w:rPr>
        <w:t xml:space="preserve">г) применение технологии оценки кредитоспособности субъектов МСП и организаций, образующих инфраструктуру поддержки субъектов МСП, предусмотренной ЦП МСП (по истечении 90 дней со дня письменного уведомления Минэкономразвития России о запуске соответствующего сервиса ЦП МСП в эксплуатацию);</w:t>
      </w:r>
    </w:p>
    <w:p>
      <w:pPr>
        <w:pStyle w:val="0"/>
        <w:spacing w:before="200" w:lineRule="auto"/>
        <w:ind w:firstLine="540"/>
        <w:jc w:val="both"/>
      </w:pPr>
      <w:r>
        <w:rPr>
          <w:sz w:val="20"/>
        </w:rPr>
        <w:t xml:space="preserve">д) внесение и актуализацию сведений об оказанных ГМФО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е) предоставление информации по запросу созданного в субъектах Российской Федерации юридического лица, на базе которого функционирует (функционируют) одна или несколько организаций, образующих инфраструктуру поддержки субъектов МСП, наделенного функциями единого органа управления организациями, образующими инфраструктуру поддержки субъектов МСП, в соответствии с </w:t>
      </w:r>
      <w:hyperlink w:history="0" r:id="rId60"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8</w:t>
        </w:r>
      </w:hyperlink>
      <w:r>
        <w:rPr>
          <w:sz w:val="20"/>
        </w:rP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приведенных в приложении N 48 к государственной программе "Экономическое развитие и инновационная экономика" (далее соответственно - Правила, приведенные в приложении N 48, единый орган управления организациями, образующими инфраструктуру поддержки субъектов МСП).</w:t>
      </w:r>
    </w:p>
    <w:bookmarkStart w:id="257" w:name="P257"/>
    <w:bookmarkEnd w:id="257"/>
    <w:p>
      <w:pPr>
        <w:pStyle w:val="0"/>
        <w:spacing w:before="200" w:lineRule="auto"/>
        <w:ind w:firstLine="540"/>
        <w:jc w:val="both"/>
      </w:pPr>
      <w:r>
        <w:rPr>
          <w:sz w:val="20"/>
        </w:rPr>
        <w:t xml:space="preserve">2.17. ГМФО должна обеспечивать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 в случае если ГМФО определена в качестве единого органа управления организациями, образующими инфраструктуру поддержки субъектов МСП.</w:t>
      </w:r>
    </w:p>
    <w:bookmarkStart w:id="258" w:name="P258"/>
    <w:bookmarkEnd w:id="258"/>
    <w:p>
      <w:pPr>
        <w:pStyle w:val="0"/>
        <w:spacing w:before="200" w:lineRule="auto"/>
        <w:ind w:firstLine="540"/>
        <w:jc w:val="both"/>
      </w:pPr>
      <w:r>
        <w:rPr>
          <w:sz w:val="20"/>
        </w:rPr>
        <w:t xml:space="preserve">3. Субъекты Российской Федерации осуществляют реализацию мероприятия "Субъектам МСП и гражданам, желающим вести бизнес, обеспечено оказание услуг и мер поддержки организациями инфраструктуры поддержки МСП" в рамках федерального проекта.</w:t>
      </w:r>
    </w:p>
    <w:bookmarkStart w:id="259" w:name="P259"/>
    <w:bookmarkEnd w:id="259"/>
    <w:p>
      <w:pPr>
        <w:pStyle w:val="0"/>
        <w:spacing w:before="200" w:lineRule="auto"/>
        <w:ind w:firstLine="540"/>
        <w:jc w:val="both"/>
      </w:pPr>
      <w:r>
        <w:rPr>
          <w:sz w:val="20"/>
        </w:rPr>
        <w:t xml:space="preserve">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"Мой бизнес",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гарантийных, лизинговых) услуг, услуг институтов развития, в том числе специализированных организаций по привлечению инвестиций и работе с инвесторами, а также услуг в сфере внешнеэкономической деятельности, информационной, консультационной, имущественной, образовательной поддержки, поддержки по созданию и модернизации производств.</w:t>
      </w:r>
    </w:p>
    <w:p>
      <w:pPr>
        <w:pStyle w:val="0"/>
        <w:spacing w:before="200" w:lineRule="auto"/>
        <w:ind w:firstLine="540"/>
        <w:jc w:val="both"/>
      </w:pPr>
      <w:r>
        <w:rPr>
          <w:sz w:val="20"/>
        </w:rPr>
        <w:t xml:space="preserve">Центр "Мой бизнес" действует как объект недвижимости или совокупность объектов недвижимости, находящихся в шаговой доступности друг от друга, оформленных в соответствии с руководством по использованию базовых констант фирменного стиля для центра "Мой бизнес", предназначенных для организации оказания услуг, сервисов и мер поддержки гражданам, желающим вести бизнес и субъектам МСП. На площадях центра "Мой бизнес" размещаются организации инфраструктуры поддержки субъектов МСП и (или) их представителей, управляемой единым органом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3.1.1. Требованиями к реализации мероприятия, указанного в </w:t>
      </w:r>
      <w:hyperlink w:history="0" w:anchor="P258" w:tooltip="3. Субъекты Российской Федерации осуществляют реализацию мероприятия &quot;Субъектам МСП и гражданам, желающим вести бизнес, обеспечено оказание услуг и мер поддержки организациями инфраструктуры поддержки МСП&quot; в рамках федерального проекта.">
        <w:r>
          <w:rPr>
            <w:sz w:val="20"/>
            <w:color w:val="0000ff"/>
          </w:rPr>
          <w:t xml:space="preserve">пункте 3</w:t>
        </w:r>
      </w:hyperlink>
      <w:r>
        <w:rPr>
          <w:sz w:val="20"/>
        </w:rPr>
        <w:t xml:space="preserve"> настоящих Требований, являются:</w:t>
      </w:r>
    </w:p>
    <w:p>
      <w:pPr>
        <w:pStyle w:val="0"/>
        <w:spacing w:before="200" w:lineRule="auto"/>
        <w:ind w:firstLine="540"/>
        <w:jc w:val="both"/>
      </w:pPr>
      <w:r>
        <w:rPr>
          <w:sz w:val="20"/>
        </w:rPr>
        <w:t xml:space="preserve">а) наличие на территории субъекта Российской Федерации центра "Мой бизнес" или наличие объекта (объектов) недвижимости, на базе которого создается центр "Мой бизнес";</w:t>
      </w:r>
    </w:p>
    <w:p>
      <w:pPr>
        <w:pStyle w:val="0"/>
        <w:spacing w:before="200" w:lineRule="auto"/>
        <w:ind w:firstLine="540"/>
        <w:jc w:val="both"/>
      </w:pPr>
      <w:r>
        <w:rPr>
          <w:sz w:val="20"/>
        </w:rPr>
        <w:t xml:space="preserve">б) наличие юридического лица, наделенного функциями единого органа управления организациями, образующими инфраструктуру поддержки субъектов МСП, указанными в соответствии с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w:t>
      </w:r>
    </w:p>
    <w:p>
      <w:pPr>
        <w:pStyle w:val="0"/>
        <w:spacing w:before="200" w:lineRule="auto"/>
        <w:ind w:firstLine="540"/>
        <w:jc w:val="both"/>
      </w:pPr>
      <w:r>
        <w:rPr>
          <w:sz w:val="20"/>
        </w:rPr>
        <w:t xml:space="preserve">в) обеспечение создания и функционирования центра "Мой бизнес" в соответствии с настоящими Требованиями;</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"Мой бизнес" на год, в котором предоставляется субсидия, включающих общие расходы центра "Мой бизнес" и расходы на создание и (или) развитие организаций, образующих инфраструктуру поддержки субъектов МСП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В рамках направления расходования средств субсидии по формированию премиального фонда за счет средств бюджета субъекта Российской Федерации и внебюджетных источников может быть предусмотрено предоставление квартальных премий при выполнении плановых ключевых показателей эффективности деятельности центра "Мой бизнес", установленных на отчетный квартал. В случае неисполнения плановых ежеквартальных ключевых показателей эффективности деятельности центра "Мой бизнес" указанные средства должны быть направлены на иные направления расходования средств субсидии центра "Мой бизнес". Размер квартальных премий равен или превышает размер ежемесячной заработной платы сотрудника. Корректировка фактического размера квартальных премий сотрудников в зависимости от фактически достигнутых значений ключевых показателей эффективности деятельности центра "Мой бизнес" осуществляется в процентах от целевого размера премии в соответствии со следующими значениями:</w:t>
      </w:r>
    </w:p>
    <w:p>
      <w:pPr>
        <w:pStyle w:val="0"/>
        <w:spacing w:before="200" w:lineRule="auto"/>
        <w:ind w:firstLine="540"/>
        <w:jc w:val="both"/>
      </w:pPr>
      <w:r>
        <w:rPr>
          <w:sz w:val="20"/>
        </w:rPr>
        <w:t xml:space="preserve">менее 80% исполнения - 10% от целевого размера премии;</w:t>
      </w:r>
    </w:p>
    <w:p>
      <w:pPr>
        <w:pStyle w:val="0"/>
        <w:spacing w:before="200" w:lineRule="auto"/>
        <w:ind w:firstLine="540"/>
        <w:jc w:val="both"/>
      </w:pPr>
      <w:r>
        <w:rPr>
          <w:sz w:val="20"/>
        </w:rPr>
        <w:t xml:space="preserve">от 80 до 100% исполнения - 80% от целевого размера премии;</w:t>
      </w:r>
    </w:p>
    <w:p>
      <w:pPr>
        <w:pStyle w:val="0"/>
        <w:spacing w:before="200" w:lineRule="auto"/>
        <w:ind w:firstLine="540"/>
        <w:jc w:val="both"/>
      </w:pPr>
      <w:r>
        <w:rPr>
          <w:sz w:val="20"/>
        </w:rPr>
        <w:t xml:space="preserve">от 100 до 120% исполнения - 100% от целевого размера премии;</w:t>
      </w:r>
    </w:p>
    <w:p>
      <w:pPr>
        <w:pStyle w:val="0"/>
        <w:spacing w:before="200" w:lineRule="auto"/>
        <w:ind w:firstLine="540"/>
        <w:jc w:val="both"/>
      </w:pPr>
      <w:r>
        <w:rPr>
          <w:sz w:val="20"/>
        </w:rPr>
        <w:t xml:space="preserve">более 120% исполнения - 120% от целевого размера премии.</w:t>
      </w:r>
    </w:p>
    <w:p>
      <w:pPr>
        <w:pStyle w:val="0"/>
        <w:spacing w:before="200" w:lineRule="auto"/>
        <w:ind w:firstLine="540"/>
        <w:jc w:val="both"/>
      </w:pPr>
      <w:r>
        <w:rPr>
          <w:sz w:val="20"/>
        </w:rPr>
        <w:t xml:space="preserve">В рамках направления расходования средств субсидии по приобретению основных средств для обеспечения деятельности центра "Мой бизнес" при его создании, а также основных средств (оборудование, программное обеспечение) организаций, образующих инфраструктуру поддержки субъектов МСП, выделяются средства регионального и федерального бюджетов в размере, не превышающем 30% от суммы средств федерального и регионального бюджетов, запланированных на финансирование центра "Мой бизнес";</w:t>
      </w:r>
    </w:p>
    <w:p>
      <w:pPr>
        <w:pStyle w:val="0"/>
        <w:spacing w:before="200" w:lineRule="auto"/>
        <w:ind w:firstLine="540"/>
        <w:jc w:val="both"/>
      </w:pPr>
      <w:r>
        <w:rPr>
          <w:sz w:val="20"/>
        </w:rPr>
        <w:t xml:space="preserve">д) наличие ключевых показателей эффективности центра "Мой бизнес"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е) наличие плана работ центра "Мой бизнес" на год, в котором предоставляется субсидия,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pPr>
        <w:pStyle w:val="0"/>
        <w:spacing w:before="200" w:lineRule="auto"/>
        <w:ind w:firstLine="540"/>
        <w:jc w:val="both"/>
      </w:pPr>
      <w:r>
        <w:rPr>
          <w:sz w:val="20"/>
        </w:rPr>
        <w:t xml:space="preserve">3.2. Центр "Мой бизнес" должен соответствовать следующим требованиям:</w:t>
      </w:r>
    </w:p>
    <w:p>
      <w:pPr>
        <w:pStyle w:val="0"/>
        <w:spacing w:before="200" w:lineRule="auto"/>
        <w:ind w:firstLine="540"/>
        <w:jc w:val="both"/>
      </w:pPr>
      <w:r>
        <w:rPr>
          <w:sz w:val="20"/>
        </w:rPr>
        <w:t xml:space="preserve">а) расположение центра "Мой бизнес" в муниципальных образованиях, численность населения которых составляет не менее 100 тыс. человек, или административном центре субъекта Российской Федерации. В муниципальных образованиях с численностью населения менее 100 тыс. человек единый орган управления организациями, образующими инфраструктуру поддержки субъектов МСП, открывает обособленные подразделения, в том числе филиалы и представительства центра "Мой бизнес";</w:t>
      </w:r>
    </w:p>
    <w:p>
      <w:pPr>
        <w:pStyle w:val="0"/>
        <w:spacing w:before="200" w:lineRule="auto"/>
        <w:ind w:firstLine="540"/>
        <w:jc w:val="both"/>
      </w:pPr>
      <w:r>
        <w:rPr>
          <w:sz w:val="20"/>
        </w:rPr>
        <w:t xml:space="preserve">б) помещения центра "Мой бизнес" должны соответствовать следующим требованиям:</w:t>
      </w:r>
    </w:p>
    <w:p>
      <w:pPr>
        <w:pStyle w:val="0"/>
        <w:spacing w:before="200" w:lineRule="auto"/>
        <w:ind w:firstLine="540"/>
        <w:jc w:val="both"/>
      </w:pPr>
      <w:r>
        <w:rPr>
          <w:sz w:val="20"/>
        </w:rPr>
        <w:t xml:space="preserve">расположение помещений центра "Мой бизнес" в отдельно стоящем здании или на территории иного здания;</w:t>
      </w:r>
    </w:p>
    <w:p>
      <w:pPr>
        <w:pStyle w:val="0"/>
        <w:spacing w:before="200" w:lineRule="auto"/>
        <w:ind w:firstLine="540"/>
        <w:jc w:val="both"/>
      </w:pPr>
      <w:r>
        <w:rPr>
          <w:sz w:val="20"/>
        </w:rPr>
        <w:t xml:space="preserve">наличие в центре "Мой бизнес" помещений для организации зон ожидания, информирования, приема и оказания услуг субъектам МСП и гражданам, желающим вести бизнес, и помещений, предназначенных для размещения организаций, образующих инфраструктуру поддержки субъектов МСП;</w:t>
      </w:r>
    </w:p>
    <w:p>
      <w:pPr>
        <w:pStyle w:val="0"/>
        <w:spacing w:before="200" w:lineRule="auto"/>
        <w:ind w:firstLine="540"/>
        <w:jc w:val="both"/>
      </w:pPr>
      <w:r>
        <w:rPr>
          <w:sz w:val="20"/>
        </w:rPr>
        <w:t xml:space="preserve">помещения центра "Мой бизнес", предназначенные для размещения административно-управленческого персонала, для приема и оказания услуг субъектам МСП и гражданам, желающим вести бизнес, не располагаются в подвальном помещении;</w:t>
      </w:r>
    </w:p>
    <w:p>
      <w:pPr>
        <w:pStyle w:val="0"/>
        <w:spacing w:before="200" w:lineRule="auto"/>
        <w:ind w:firstLine="540"/>
        <w:jc w:val="both"/>
      </w:pPr>
      <w:r>
        <w:rPr>
          <w:sz w:val="20"/>
        </w:rPr>
        <w:t xml:space="preserve">строение, в котором расположены помещения центра "Мой бизнес", не имеет повреждений несущих конструкций;</w:t>
      </w:r>
    </w:p>
    <w:p>
      <w:pPr>
        <w:pStyle w:val="0"/>
        <w:spacing w:before="200" w:lineRule="auto"/>
        <w:ind w:firstLine="540"/>
        <w:jc w:val="both"/>
      </w:pPr>
      <w:r>
        <w:rPr>
          <w:sz w:val="20"/>
        </w:rPr>
        <w:t xml:space="preserve">общая площадь зон ожидания, информирования, приема и оказания услуг субъектам МСП и гражданам, желающим вести бизнес, центра "Мой бизнес" должна составлять не менее 50 кв. метров;</w:t>
      </w:r>
    </w:p>
    <w:p>
      <w:pPr>
        <w:pStyle w:val="0"/>
        <w:spacing w:before="200" w:lineRule="auto"/>
        <w:ind w:firstLine="540"/>
        <w:jc w:val="both"/>
      </w:pPr>
      <w:r>
        <w:rPr>
          <w:sz w:val="20"/>
        </w:rPr>
        <w:t xml:space="preserve">в зоне приема и оказания услуг субъектам МСП и гражданам, желающим вести бизнес, должно быть обеспечено не менее 3 рабочих мест, в том числе окна многофункционального центра для бизнеса, созданного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МСП,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и электроснабжения, и некоммерческими организациями, выражающими интересы субъектов МСП, и (или) центра оказания услуг. Каждое рабочее место должно быть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 оформлено информационными табличками с указанием номера окна, фамилии, имени, отчества (при наличии) и должности работника центра "Мой бизнес". Должна быть обеспечена возможность управления очередью и мониторинга мнения заявителей о качестве обслуживания;</w:t>
      </w:r>
    </w:p>
    <w:p>
      <w:pPr>
        <w:pStyle w:val="0"/>
        <w:spacing w:before="200" w:lineRule="auto"/>
        <w:ind w:firstLine="540"/>
        <w:jc w:val="both"/>
      </w:pPr>
      <w:r>
        <w:rPr>
          <w:sz w:val="20"/>
        </w:rPr>
        <w:t xml:space="preserve">в зоне приема и оказания услуг размещается оборудование коллективного доступа, включающее копировальный аппарат, сканер, цветной принтер, предназначенное для использования организациями, образующими инфраструктуру поддержки субъектов МСП, и (или) их представителями;</w:t>
      </w:r>
    </w:p>
    <w:p>
      <w:pPr>
        <w:pStyle w:val="0"/>
        <w:spacing w:before="200" w:lineRule="auto"/>
        <w:ind w:firstLine="540"/>
        <w:jc w:val="both"/>
      </w:pPr>
      <w:r>
        <w:rPr>
          <w:sz w:val="20"/>
        </w:rPr>
        <w:t xml:space="preserve">зона ожидания и информирования должна содержать:</w:t>
      </w:r>
    </w:p>
    <w:p>
      <w:pPr>
        <w:pStyle w:val="0"/>
        <w:spacing w:before="200" w:lineRule="auto"/>
        <w:ind w:firstLine="540"/>
        <w:jc w:val="both"/>
      </w:pPr>
      <w:r>
        <w:rPr>
          <w:sz w:val="20"/>
        </w:rPr>
        <w:t xml:space="preserve">информационные стенды, содержащие актуальную и исчерпывающую информацию, необходимую для получения услуг центра "Мой бизнес" (перечень услуг и сроки их предоставления, размеры государственных пошлин и иных платежей, уплачиваемых заявителем при получении услуг, порядок их уплаты, режим работы и адреса иных центров "Мой бизнес" и привлекаемых организаций, находящихся на территории субъекта Российской Федерации), и иную информацию, необходимую для получения услуг центра "Мой бизнес";</w:t>
      </w:r>
    </w:p>
    <w:p>
      <w:pPr>
        <w:pStyle w:val="0"/>
        <w:spacing w:before="200" w:lineRule="auto"/>
        <w:ind w:firstLine="540"/>
        <w:jc w:val="both"/>
      </w:pPr>
      <w:r>
        <w:rPr>
          <w:sz w:val="20"/>
        </w:rPr>
        <w:t xml:space="preserve">программно-аппаратный комплекс, обеспечивающий доступ заявителей к сайту центра "Мой бизнес" в сети "Интернет" (далее - сайт центра "Мой бизнес"), ЦП МСП, а также к информации об услугах и мерах поддержки, предоставляемых в центре "Мой бизнес" и на ЦП МСП;</w:t>
      </w:r>
    </w:p>
    <w:p>
      <w:pPr>
        <w:pStyle w:val="0"/>
        <w:spacing w:before="200" w:lineRule="auto"/>
        <w:ind w:firstLine="540"/>
        <w:jc w:val="both"/>
      </w:pPr>
      <w:r>
        <w:rPr>
          <w:sz w:val="20"/>
        </w:rPr>
        <w:t xml:space="preserve">платежный терминал (терминал для электронной оплаты), предназначенный для обеспечения приема платежей от физических лиц при оказании платных государственных и муниципальных услуг;</w:t>
      </w:r>
    </w:p>
    <w:p>
      <w:pPr>
        <w:pStyle w:val="0"/>
        <w:spacing w:before="200" w:lineRule="auto"/>
        <w:ind w:firstLine="540"/>
        <w:jc w:val="both"/>
      </w:pPr>
      <w:r>
        <w:rPr>
          <w:sz w:val="20"/>
        </w:rPr>
        <w:t xml:space="preserve">электронную систему управления очередью, предназначенную для регистрации заявителя в очереди, учета заявителей в очереди, управления отдельными очередями в зависимости от видов услуг, отображения статуса очереди, автоматического перенаправления заявителя в очередь на обслуживание к следующему работнику центра "Мой бизнес", формирования отчетов о посещаемости центра "Мой бизнес", количестве заявителей, очередях, среднем времени ожидания (обслуживания) и о загруженности работников;</w:t>
      </w:r>
    </w:p>
    <w:p>
      <w:pPr>
        <w:pStyle w:val="0"/>
        <w:spacing w:before="200" w:lineRule="auto"/>
        <w:ind w:firstLine="540"/>
        <w:jc w:val="both"/>
      </w:pPr>
      <w:r>
        <w:rPr>
          <w:sz w:val="20"/>
        </w:rPr>
        <w:t xml:space="preserve">видеокамеру для обеспечения видеонаблюдения и трансляции из помещений центра "Мой бизнес";</w:t>
      </w:r>
    </w:p>
    <w:p>
      <w:pPr>
        <w:pStyle w:val="0"/>
        <w:spacing w:before="200" w:lineRule="auto"/>
        <w:ind w:firstLine="540"/>
        <w:jc w:val="both"/>
      </w:pPr>
      <w:r>
        <w:rPr>
          <w:sz w:val="20"/>
        </w:rPr>
        <w:t xml:space="preserve">входную группу и внутреннюю организацию помещения (дверные проемы, коридоры), обеспечивающие беспрепятственный доступ для лиц с ограниченными возможностями передвижения.</w:t>
      </w:r>
    </w:p>
    <w:p>
      <w:pPr>
        <w:pStyle w:val="0"/>
        <w:spacing w:before="200" w:lineRule="auto"/>
        <w:ind w:firstLine="540"/>
        <w:jc w:val="both"/>
      </w:pPr>
      <w:r>
        <w:rPr>
          <w:sz w:val="20"/>
        </w:rPr>
        <w:t xml:space="preserve">В помещениях, предназначенных для размещения организаций, образующих инфраструктуру поддержки субъектов МСП, организованы рабочие места для сотрудников организаций инфраструктуры поддержки субъектов МСП, каждое из которых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w:t>
      </w:r>
    </w:p>
    <w:p>
      <w:pPr>
        <w:pStyle w:val="0"/>
        <w:spacing w:before="200" w:lineRule="auto"/>
        <w:ind w:firstLine="540"/>
        <w:jc w:val="both"/>
      </w:pPr>
      <w:r>
        <w:rPr>
          <w:sz w:val="20"/>
        </w:rPr>
        <w:t xml:space="preserve">в) единый фирменный стиль "Мой бизнес", предназначенный для центров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w:t>
      </w:r>
    </w:p>
    <w:p>
      <w:pPr>
        <w:pStyle w:val="0"/>
        <w:spacing w:before="200" w:lineRule="auto"/>
        <w:ind w:firstLine="540"/>
        <w:jc w:val="both"/>
      </w:pPr>
      <w:r>
        <w:rPr>
          <w:sz w:val="20"/>
        </w:rPr>
        <w:t xml:space="preserve">г) размещение на платной, или частично платной, или бесплатной основе в помещениях центра "Мой бизнес" организаций, образующих инфраструктуру поддержки субъектов МСП, и (или) их представителей, и иных организаций на платной основе, и организация оказания услуг, сервисов и мер поддержки субъектам МСП, гражданам, желающим вести бизнес, организациям, образующим инфраструктуру поддержки субъектов МСП, и (или) их представителям, а также институтам развития, в том числе специализированным организациям по привлечению инвестиций и работе с инвесторами;</w:t>
      </w:r>
    </w:p>
    <w:bookmarkStart w:id="294" w:name="P294"/>
    <w:bookmarkEnd w:id="294"/>
    <w:p>
      <w:pPr>
        <w:pStyle w:val="0"/>
        <w:spacing w:before="200" w:lineRule="auto"/>
        <w:ind w:firstLine="540"/>
        <w:jc w:val="both"/>
      </w:pPr>
      <w:r>
        <w:rPr>
          <w:sz w:val="20"/>
        </w:rPr>
        <w:t xml:space="preserve">д) наличие регламента оказания услуг в центре "Мой бизнес", соответствующего следующим основным параметрам:</w:t>
      </w:r>
    </w:p>
    <w:p>
      <w:pPr>
        <w:pStyle w:val="0"/>
        <w:spacing w:before="200" w:lineRule="auto"/>
        <w:ind w:firstLine="540"/>
        <w:jc w:val="both"/>
      </w:pPr>
      <w:r>
        <w:rPr>
          <w:sz w:val="20"/>
        </w:rPr>
        <w:t xml:space="preserve">услуги, оказываемые в центре "Мой бизнес", предоставляются по запросу заявителя;</w:t>
      </w:r>
    </w:p>
    <w:p>
      <w:pPr>
        <w:pStyle w:val="0"/>
        <w:spacing w:before="200" w:lineRule="auto"/>
        <w:ind w:firstLine="540"/>
        <w:jc w:val="both"/>
      </w:pPr>
      <w:r>
        <w:rPr>
          <w:sz w:val="20"/>
        </w:rPr>
        <w:t xml:space="preserve">при предоставлении услуг в центре "Мой бизнес" время ожидания в очереди для подачи документов и получения результата услуги не превышает 15 минут;</w:t>
      </w:r>
    </w:p>
    <w:p>
      <w:pPr>
        <w:pStyle w:val="0"/>
        <w:spacing w:before="200" w:lineRule="auto"/>
        <w:ind w:firstLine="540"/>
        <w:jc w:val="both"/>
      </w:pPr>
      <w:r>
        <w:rPr>
          <w:sz w:val="20"/>
        </w:rPr>
        <w:t xml:space="preserve">заявитель информируется в письменной или электронной форме о возможности или невозможности предоставления услуги (с указанием причин, по которым услуга не может быть предоставлена) в срок не более 10 рабочих дней со дня поступления запроса;</w:t>
      </w:r>
    </w:p>
    <w:p>
      <w:pPr>
        <w:pStyle w:val="0"/>
        <w:spacing w:before="200" w:lineRule="auto"/>
        <w:ind w:firstLine="540"/>
        <w:jc w:val="both"/>
      </w:pPr>
      <w:r>
        <w:rPr>
          <w:sz w:val="20"/>
        </w:rPr>
        <w:t xml:space="preserve">срок получения услуги (промежуточного результата) со дня поступления запроса не должен превышать 30 календарных дней, за исключением услуг, предоставляемых инновационно-производственными организациями, образующими инфраструктуру поддержки субъектов МСП;</w:t>
      </w:r>
    </w:p>
    <w:p>
      <w:pPr>
        <w:pStyle w:val="0"/>
        <w:spacing w:before="200" w:lineRule="auto"/>
        <w:ind w:firstLine="540"/>
        <w:jc w:val="both"/>
      </w:pPr>
      <w:r>
        <w:rPr>
          <w:sz w:val="20"/>
        </w:rPr>
        <w:t xml:space="preserve">е) наличие не менее одной переговорной комнаты, которая относится к помещению коллективного доступа, предоставляющей изолированное помещение для проведения переговоров и иных рабочих совещаний, оборудованной мебелью, телевизионным экраном, маркерной доской и телефоном с выходом на городскую, междугородную и международную связь, а также системой видео-конференц-связи;</w:t>
      </w:r>
    </w:p>
    <w:p>
      <w:pPr>
        <w:pStyle w:val="0"/>
        <w:spacing w:before="200" w:lineRule="auto"/>
        <w:ind w:firstLine="540"/>
        <w:jc w:val="both"/>
      </w:pPr>
      <w:r>
        <w:rPr>
          <w:sz w:val="20"/>
        </w:rPr>
        <w:t xml:space="preserve">ж) наличие не менее одной конференц-зоны и (или) зала для проведения лекций, семинаров, тренингов и других обучающих занятий, которые относятся к помещениям коллективного доступа, оборудованным мебелью, мультимедиапроектором, ноутбуком, интерфейсом для подключения ноутбука, маркерной доской, микрофонами и телефоном с выходом на городскую линию и междугородную, международную связь, а также системой видео-конференц-связи;</w:t>
      </w:r>
    </w:p>
    <w:p>
      <w:pPr>
        <w:pStyle w:val="0"/>
        <w:spacing w:before="200" w:lineRule="auto"/>
        <w:ind w:firstLine="540"/>
        <w:jc w:val="both"/>
      </w:pPr>
      <w:r>
        <w:rPr>
          <w:sz w:val="20"/>
        </w:rPr>
        <w:t xml:space="preserve">з) наличие рабочего места для представителей территориальных отделений федеральных органов исполнительной власти и иных организаций;</w:t>
      </w:r>
    </w:p>
    <w:p>
      <w:pPr>
        <w:pStyle w:val="0"/>
        <w:spacing w:before="200" w:lineRule="auto"/>
        <w:ind w:firstLine="540"/>
        <w:jc w:val="both"/>
      </w:pPr>
      <w:r>
        <w:rPr>
          <w:sz w:val="20"/>
        </w:rPr>
        <w:t xml:space="preserve">и) обеспечение ведения раздельного бухгалтерского учета по денежным средствам, предоставленным центру "Мой бизнес" за счет средств бюджетов всех уровней и внебюджетных источников;</w:t>
      </w:r>
    </w:p>
    <w:p>
      <w:pPr>
        <w:pStyle w:val="0"/>
        <w:spacing w:before="200" w:lineRule="auto"/>
        <w:ind w:firstLine="540"/>
        <w:jc w:val="both"/>
      </w:pPr>
      <w:r>
        <w:rPr>
          <w:sz w:val="20"/>
        </w:rPr>
        <w:t xml:space="preserve">к) привлечение в целях реализации своих функций специализированных организаций и квалифицированных специалистов;</w:t>
      </w:r>
    </w:p>
    <w:p>
      <w:pPr>
        <w:pStyle w:val="0"/>
        <w:spacing w:before="200" w:lineRule="auto"/>
        <w:ind w:firstLine="540"/>
        <w:jc w:val="both"/>
      </w:pPr>
      <w:r>
        <w:rPr>
          <w:sz w:val="20"/>
        </w:rPr>
        <w:t xml:space="preserve">л) наличие центра оперативной поддержки предпринимательства (горячей линии) с использованием средств телефонной связи и сети "Интернет" в случае введения на территории субъекта Российской Федерации или муниципального образования режима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или предотвращение ведения боевых действий против Российской Федерации и устранением угроз жизни и здоровью людей;</w:t>
      </w:r>
    </w:p>
    <w:p>
      <w:pPr>
        <w:pStyle w:val="0"/>
        <w:spacing w:before="200" w:lineRule="auto"/>
        <w:ind w:firstLine="540"/>
        <w:jc w:val="both"/>
      </w:pPr>
      <w:r>
        <w:rPr>
          <w:sz w:val="20"/>
        </w:rPr>
        <w:t xml:space="preserve">м) наличие сайта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на базе центра "Мой бизнес";</w:t>
      </w:r>
    </w:p>
    <w:p>
      <w:pPr>
        <w:pStyle w:val="0"/>
        <w:spacing w:before="200" w:lineRule="auto"/>
        <w:ind w:firstLine="540"/>
        <w:jc w:val="both"/>
      </w:pPr>
      <w:r>
        <w:rPr>
          <w:sz w:val="20"/>
        </w:rPr>
        <w:t xml:space="preserve">формирование заявления (заявки) о предоставлении услуг, предоставляемых на базе центра "Мой бизнес", в форме электронного документа;</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00" w:lineRule="auto"/>
        <w:ind w:firstLine="540"/>
        <w:jc w:val="both"/>
      </w:pPr>
      <w:r>
        <w:rPr>
          <w:sz w:val="20"/>
        </w:rPr>
        <w:t xml:space="preserve">н) осуществление доработки и (или) настройки автоматизированной информационной системы, включая интеграцию с ЦП МСП, центра телефонного обслуживания для организации предоставления услуг субъектам МСП и гражданам, желающим вести бизнес.</w:t>
      </w:r>
    </w:p>
    <w:p>
      <w:pPr>
        <w:pStyle w:val="0"/>
        <w:spacing w:before="200" w:lineRule="auto"/>
        <w:ind w:firstLine="540"/>
        <w:jc w:val="both"/>
      </w:pPr>
      <w:r>
        <w:rPr>
          <w:sz w:val="20"/>
        </w:rPr>
        <w:t xml:space="preserve">3.2.1. Обособленные подразделения, в том числе филиалы и представительства центра "Мой бизнес", открываются в том числе на основании соглашения о взаимодействии, заключенного между единым органом управления организациями, образующими инфраструктуру поддержки субъектов МСП, и организациями, привлекаемыми в целях развития МСП в субъекте Российской Федерации.</w:t>
      </w:r>
    </w:p>
    <w:p>
      <w:pPr>
        <w:pStyle w:val="0"/>
        <w:spacing w:before="200" w:lineRule="auto"/>
        <w:ind w:firstLine="540"/>
        <w:jc w:val="both"/>
      </w:pPr>
      <w:r>
        <w:rPr>
          <w:sz w:val="20"/>
        </w:rPr>
        <w:t xml:space="preserve">3.2.2. В рамках софинансирования расходов бюджета субъекта Российской Федерации на организацию оказания комплекса услуг, сервисов и мер поддержки гражданам, желающим вести бизнес, субъектам МСП в центрах "Мой бизнес", субъекту Российской Федерации может быть предоставлена субсидия на приобретение оборудования, предназначенного для обеспечения деятельности субъекта МСП - центра молодежного инновационного творчества, ориентированного на создание благоприятных условий для детей, молодежи в возрасте до 35 лет включительно и субъектов МСП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(далее - ЦМИТ).</w:t>
      </w:r>
    </w:p>
    <w:p>
      <w:pPr>
        <w:pStyle w:val="0"/>
        <w:spacing w:before="200" w:lineRule="auto"/>
        <w:ind w:firstLine="540"/>
        <w:jc w:val="both"/>
      </w:pPr>
      <w:r>
        <w:rPr>
          <w:sz w:val="20"/>
        </w:rPr>
        <w:t xml:space="preserve">3.2.2.1. Требованиями к предоставлению субсидии на обеспечение деятельности ЦМИТ являются:</w:t>
      </w:r>
    </w:p>
    <w:p>
      <w:pPr>
        <w:pStyle w:val="0"/>
        <w:spacing w:before="200" w:lineRule="auto"/>
        <w:ind w:firstLine="540"/>
        <w:jc w:val="both"/>
      </w:pPr>
      <w:r>
        <w:rPr>
          <w:sz w:val="20"/>
        </w:rPr>
        <w:t xml:space="preserve">а) наличие у субъекта Российской Федерации проекта, включающего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отобранного на конкурсной основе;</w:t>
      </w:r>
    </w:p>
    <w:p>
      <w:pPr>
        <w:pStyle w:val="0"/>
        <w:spacing w:before="200" w:lineRule="auto"/>
        <w:ind w:firstLine="540"/>
        <w:jc w:val="both"/>
      </w:pPr>
      <w:r>
        <w:rPr>
          <w:sz w:val="20"/>
        </w:rPr>
        <w:t xml:space="preserve">б) наличие направлений расходования средств субсидии федерального бюджета и бюджета субъекта Российской Федерации на финансирование ЦМИТ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в) наличие ключевых показателей эффективности деятельности ИМ ИТ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г) субсидия предоставляется в целях закупки оборудования и его дальнейшей передачи в пользование субъекту МСП, выполняющему функции по управлению ЦМИТ;</w:t>
      </w:r>
    </w:p>
    <w:p>
      <w:pPr>
        <w:pStyle w:val="0"/>
        <w:spacing w:before="200" w:lineRule="auto"/>
        <w:ind w:firstLine="540"/>
        <w:jc w:val="both"/>
      </w:pPr>
      <w:r>
        <w:rPr>
          <w:sz w:val="20"/>
        </w:rPr>
        <w:t xml:space="preserve">д) использование оборудования ЦМИТ осуществляется субъектом МСП в помещении центра "Мой бизнес";</w:t>
      </w:r>
    </w:p>
    <w:p>
      <w:pPr>
        <w:pStyle w:val="0"/>
        <w:spacing w:before="200" w:lineRule="auto"/>
        <w:ind w:firstLine="540"/>
        <w:jc w:val="both"/>
      </w:pPr>
      <w:r>
        <w:rPr>
          <w:sz w:val="20"/>
        </w:rPr>
        <w:t xml:space="preserve">е) отбор субъекта МСП, выполняющего функции по управлению ЦМИТ, осуществляется на конкурсной основе.</w:t>
      </w:r>
    </w:p>
    <w:p>
      <w:pPr>
        <w:pStyle w:val="0"/>
        <w:spacing w:before="200" w:lineRule="auto"/>
        <w:ind w:firstLine="540"/>
        <w:jc w:val="both"/>
      </w:pPr>
      <w:r>
        <w:rPr>
          <w:sz w:val="20"/>
        </w:rPr>
        <w:t xml:space="preserve">3.2.2.2. В рамках своей деятельности ЦМИТ должен обеспечивать:</w:t>
      </w:r>
    </w:p>
    <w:p>
      <w:pPr>
        <w:pStyle w:val="0"/>
        <w:spacing w:before="200" w:lineRule="auto"/>
        <w:ind w:firstLine="540"/>
        <w:jc w:val="both"/>
      </w:pPr>
      <w:r>
        <w:rPr>
          <w:sz w:val="20"/>
        </w:rPr>
        <w:t xml:space="preserve">а) доступ детей и молодежи в возрасте до 35 лет включительно к современному оборудованию прямого цифрового производства для реализации, проверки и коммерциализации их инновационных идей;</w:t>
      </w:r>
    </w:p>
    <w:p>
      <w:pPr>
        <w:pStyle w:val="0"/>
        <w:spacing w:before="200" w:lineRule="auto"/>
        <w:ind w:firstLine="540"/>
        <w:jc w:val="both"/>
      </w:pPr>
      <w:r>
        <w:rPr>
          <w:sz w:val="20"/>
        </w:rPr>
        <w:t xml:space="preserve">б) поддержку инновационного творчества детей и молодежи в возрасте до 35 лет включительно, в том числе в целях профессиональной реализации и обеспечения развития молодежного предпринимательства;</w:t>
      </w:r>
    </w:p>
    <w:p>
      <w:pPr>
        <w:pStyle w:val="0"/>
        <w:spacing w:before="200" w:lineRule="auto"/>
        <w:ind w:firstLine="540"/>
        <w:jc w:val="both"/>
      </w:pPr>
      <w:r>
        <w:rPr>
          <w:sz w:val="20"/>
        </w:rPr>
        <w:t xml:space="preserve">в) техническую и производственную поддержку детей и молодежи в возрасте до 35 лет включительно, субъектов МСП, осуществляющих разработку перспективных видов продукции и технологий;</w:t>
      </w:r>
    </w:p>
    <w:p>
      <w:pPr>
        <w:pStyle w:val="0"/>
        <w:spacing w:before="200" w:lineRule="auto"/>
        <w:ind w:firstLine="540"/>
        <w:jc w:val="both"/>
      </w:pPr>
      <w:r>
        <w:rPr>
          <w:sz w:val="20"/>
        </w:rPr>
        <w:t xml:space="preserve">г) формирование благоприятных условий для вывода проектов на рынок и оказание содействия в государственной регистрации юридических лиц, а также в государственной регистрации результатов интеллектуальной деятельности и средств индивидуализации юридических лиц, товаров, работ, услуг и предприятий, которым предоставляется правовая охрана;</w:t>
      </w:r>
    </w:p>
    <w:p>
      <w:pPr>
        <w:pStyle w:val="0"/>
        <w:spacing w:before="200" w:lineRule="auto"/>
        <w:ind w:firstLine="540"/>
        <w:jc w:val="both"/>
      </w:pPr>
      <w:r>
        <w:rPr>
          <w:sz w:val="20"/>
        </w:rPr>
        <w:t xml:space="preserve">д) взаимодействие, обмен опытом с другими центрами молодежного инновационного творчества в Российской Федерации и за пределами территории Российской Федерации;</w:t>
      </w:r>
    </w:p>
    <w:p>
      <w:pPr>
        <w:pStyle w:val="0"/>
        <w:spacing w:before="200" w:lineRule="auto"/>
        <w:ind w:firstLine="540"/>
        <w:jc w:val="both"/>
      </w:pPr>
      <w:r>
        <w:rPr>
          <w:sz w:val="20"/>
        </w:rPr>
        <w:t xml:space="preserve">е) организацию конференций, семинаров, рабочих встреч;</w:t>
      </w:r>
    </w:p>
    <w:p>
      <w:pPr>
        <w:pStyle w:val="0"/>
        <w:spacing w:before="200" w:lineRule="auto"/>
        <w:ind w:firstLine="540"/>
        <w:jc w:val="both"/>
      </w:pPr>
      <w:r>
        <w:rPr>
          <w:sz w:val="20"/>
        </w:rPr>
        <w:t xml:space="preserve">ж) формирование базы данных пользователей ЦМИТ;</w:t>
      </w:r>
    </w:p>
    <w:p>
      <w:pPr>
        <w:pStyle w:val="0"/>
        <w:spacing w:before="200" w:lineRule="auto"/>
        <w:ind w:firstLine="540"/>
        <w:jc w:val="both"/>
      </w:pPr>
      <w:r>
        <w:rPr>
          <w:sz w:val="20"/>
        </w:rPr>
        <w:t xml:space="preserve">з) проведение регулярных обучающих мероприятий и реализация обучающих программ в целях освоения возможностей оборудования пользователями ЦМИТ;</w:t>
      </w:r>
    </w:p>
    <w:p>
      <w:pPr>
        <w:pStyle w:val="0"/>
        <w:spacing w:before="200" w:lineRule="auto"/>
        <w:ind w:firstLine="540"/>
        <w:jc w:val="both"/>
      </w:pPr>
      <w:r>
        <w:rPr>
          <w:sz w:val="20"/>
        </w:rPr>
        <w:t xml:space="preserve">и) осуществление мониторинга деятельности субъектов МСП, которым предоставлены услуги ЦМИТ.</w:t>
      </w:r>
    </w:p>
    <w:p>
      <w:pPr>
        <w:pStyle w:val="0"/>
        <w:spacing w:before="200" w:lineRule="auto"/>
        <w:ind w:firstLine="540"/>
        <w:jc w:val="both"/>
      </w:pPr>
      <w:r>
        <w:rPr>
          <w:sz w:val="20"/>
        </w:rPr>
        <w:t xml:space="preserve">3.2.2.3. ЦМИТ должен соответствовать следующим требованиям:</w:t>
      </w:r>
    </w:p>
    <w:p>
      <w:pPr>
        <w:pStyle w:val="0"/>
        <w:spacing w:before="200" w:lineRule="auto"/>
        <w:ind w:firstLine="540"/>
        <w:jc w:val="both"/>
      </w:pPr>
      <w:r>
        <w:rPr>
          <w:sz w:val="20"/>
        </w:rPr>
        <w:t xml:space="preserve">а) создавать благоприятные условия для развития детей, молодежи в возрасте до 35 лет включительно и субъектов МСП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p>
    <w:p>
      <w:pPr>
        <w:pStyle w:val="0"/>
        <w:spacing w:before="200" w:lineRule="auto"/>
        <w:ind w:firstLine="540"/>
        <w:jc w:val="both"/>
      </w:pPr>
      <w:r>
        <w:rPr>
          <w:sz w:val="20"/>
        </w:rPr>
        <w:t xml:space="preserve">б) обеспечивать загрузку оборудования ЦМИТ для детей и молодежи в возрасте до 35 лет включительно не менее 60% от общего времени работы оборудования;</w:t>
      </w:r>
    </w:p>
    <w:p>
      <w:pPr>
        <w:pStyle w:val="0"/>
        <w:spacing w:before="200" w:lineRule="auto"/>
        <w:ind w:firstLine="540"/>
        <w:jc w:val="both"/>
      </w:pPr>
      <w:r>
        <w:rPr>
          <w:sz w:val="20"/>
        </w:rPr>
        <w:t xml:space="preserve">в) представлять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г) иметь в штате не менее 1 специалиста, умеющего работать со всем спектром оборудования ЦМИТ;</w:t>
      </w:r>
    </w:p>
    <w:p>
      <w:pPr>
        <w:pStyle w:val="0"/>
        <w:spacing w:before="200" w:lineRule="auto"/>
        <w:ind w:firstLine="540"/>
        <w:jc w:val="both"/>
      </w:pPr>
      <w:r>
        <w:rPr>
          <w:sz w:val="20"/>
        </w:rPr>
        <w:t xml:space="preserve">д) обеспечивать открытость ЦМИТ для всех групп населения;</w:t>
      </w:r>
    </w:p>
    <w:p>
      <w:pPr>
        <w:pStyle w:val="0"/>
        <w:spacing w:before="200" w:lineRule="auto"/>
        <w:ind w:firstLine="540"/>
        <w:jc w:val="both"/>
      </w:pPr>
      <w:r>
        <w:rPr>
          <w:sz w:val="20"/>
        </w:rPr>
        <w:t xml:space="preserve">е) иметь в штате не менее 1 специалиста по работе с детьми, имеющего образование и опыт работы в соответствующей сфере деятельности.</w:t>
      </w:r>
    </w:p>
    <w:p>
      <w:pPr>
        <w:pStyle w:val="0"/>
        <w:spacing w:before="200" w:lineRule="auto"/>
        <w:ind w:firstLine="540"/>
        <w:jc w:val="both"/>
      </w:pPr>
      <w:r>
        <w:rPr>
          <w:sz w:val="20"/>
        </w:rPr>
        <w:t xml:space="preserve">3.2.3. В рамках софинансирования расходов бюджета субъекта Российской Федерации на организацию оказания услуг, сервисов и мер поддержки гражданам, желающим вести бизнес, субъектам МСП, в центрах "Мой бизнес", субъекту Российской Федерации может быть предоставлена субсидия в том числе на создание коворкинга, расположенного в помещениях центра "Мой бизнес" в виде организованного пространства, оснащенного оборудованными рабочими местами, предоставляемыми в краткосрочную аренду (субаренду) субъектам МСП на льготных условиях на срок, не превышающий 12 месяцев, для организации и ведения предпринимательской деятельности.</w:t>
      </w:r>
    </w:p>
    <w:p>
      <w:pPr>
        <w:pStyle w:val="0"/>
        <w:spacing w:before="200" w:lineRule="auto"/>
        <w:ind w:firstLine="540"/>
        <w:jc w:val="both"/>
      </w:pPr>
      <w:r>
        <w:rPr>
          <w:sz w:val="20"/>
        </w:rPr>
        <w:t xml:space="preserve">Управление деятельностью коворкинга осуществляется единым органом управления организациями, образующими инфраструктуру поддержки субъектов МСП, или субъектом МСП, отобранным на конкурсной основе.</w:t>
      </w:r>
    </w:p>
    <w:p>
      <w:pPr>
        <w:pStyle w:val="0"/>
        <w:spacing w:before="200" w:lineRule="auto"/>
        <w:ind w:firstLine="540"/>
        <w:jc w:val="both"/>
      </w:pPr>
      <w:r>
        <w:rPr>
          <w:sz w:val="20"/>
        </w:rPr>
        <w:t xml:space="preserve">В приоритетном порядке на площадке коворкинга должны быть размещены субъекты МСП, осуществляющие деятельность в сфере социального предпринимательства, начинающие субъекты МСП.</w:t>
      </w:r>
    </w:p>
    <w:p>
      <w:pPr>
        <w:pStyle w:val="0"/>
        <w:spacing w:before="200" w:lineRule="auto"/>
        <w:ind w:firstLine="540"/>
        <w:jc w:val="both"/>
      </w:pPr>
      <w:r>
        <w:rPr>
          <w:sz w:val="20"/>
        </w:rPr>
        <w:t xml:space="preserve">Условием предоставления рабочего места в коворкинге и услуг бизнес-инкубатора является заявительный порядок.</w:t>
      </w:r>
    </w:p>
    <w:p>
      <w:pPr>
        <w:pStyle w:val="0"/>
        <w:spacing w:before="200" w:lineRule="auto"/>
        <w:ind w:firstLine="540"/>
        <w:jc w:val="both"/>
      </w:pPr>
      <w:r>
        <w:rPr>
          <w:sz w:val="20"/>
        </w:rPr>
        <w:t xml:space="preserve">Коворкинг должен предоставлять субъектам МСП на платной, или частично платной, или бесплатной основе оборудованные рабочие места (рабочее место считается оборудованным при наличии стола, стула, доступа к бытовой электросети) и сопутствующие сервисы, в том числе печать документов, доступ в сеть "Интернет", хранение личных вещей.</w:t>
      </w:r>
    </w:p>
    <w:p>
      <w:pPr>
        <w:pStyle w:val="0"/>
        <w:spacing w:before="200" w:lineRule="auto"/>
        <w:ind w:firstLine="540"/>
        <w:jc w:val="both"/>
      </w:pPr>
      <w:r>
        <w:rPr>
          <w:sz w:val="20"/>
        </w:rPr>
        <w:t xml:space="preserve">3.3. Требования к единому органу управления организациями, образующими инфраструктуру поддержки субъектов МСП.</w:t>
      </w:r>
    </w:p>
    <w:bookmarkStart w:id="342" w:name="P342"/>
    <w:bookmarkEnd w:id="342"/>
    <w:p>
      <w:pPr>
        <w:pStyle w:val="0"/>
        <w:spacing w:before="200" w:lineRule="auto"/>
        <w:ind w:firstLine="540"/>
        <w:jc w:val="both"/>
      </w:pPr>
      <w:r>
        <w:rPr>
          <w:sz w:val="20"/>
        </w:rPr>
        <w:t xml:space="preserve">3.3.1. Единый орган управления организациями, образующими инфраструктуру поддержки субъектов МСП, должен обеспечивать выполнение следующих функций:</w:t>
      </w:r>
    </w:p>
    <w:p>
      <w:pPr>
        <w:pStyle w:val="0"/>
        <w:spacing w:before="200" w:lineRule="auto"/>
        <w:ind w:firstLine="540"/>
        <w:jc w:val="both"/>
      </w:pPr>
      <w:r>
        <w:rPr>
          <w:sz w:val="20"/>
        </w:rPr>
        <w:t xml:space="preserve">а) осуществление взаимодействия с федеральными органами исполнительной власти,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МСП, институтами развития;</w:t>
      </w:r>
    </w:p>
    <w:p>
      <w:pPr>
        <w:pStyle w:val="0"/>
        <w:spacing w:before="200" w:lineRule="auto"/>
        <w:ind w:firstLine="540"/>
        <w:jc w:val="both"/>
      </w:pPr>
      <w:r>
        <w:rPr>
          <w:sz w:val="20"/>
        </w:rPr>
        <w:t xml:space="preserve">б) заключение соглашений о взаимодействии с организациями, образующими инфраструктуру поддержки субъектов МСП, в том числе расположенными на территориях других субъектов Российской Федерации, и иными привлекаемыми организациями, находящимися на территории субъекта Российской Федерации, в целях организации предоставления услуг заявителям, находящимся на территории данного субъекта Российской Федерации;</w:t>
      </w:r>
    </w:p>
    <w:p>
      <w:pPr>
        <w:pStyle w:val="0"/>
        <w:spacing w:before="200" w:lineRule="auto"/>
        <w:ind w:firstLine="540"/>
        <w:jc w:val="both"/>
      </w:pPr>
      <w:r>
        <w:rPr>
          <w:sz w:val="20"/>
        </w:rPr>
        <w:t xml:space="preserve">в) проведение оперативного анализа деятельности организаций, образующих инфраструктуру поддержки субъектов МСП, в субъекте Российской Федерации;</w:t>
      </w:r>
    </w:p>
    <w:p>
      <w:pPr>
        <w:pStyle w:val="0"/>
        <w:spacing w:before="200" w:lineRule="auto"/>
        <w:ind w:firstLine="540"/>
        <w:jc w:val="both"/>
      </w:pPr>
      <w:r>
        <w:rPr>
          <w:sz w:val="20"/>
        </w:rPr>
        <w:t xml:space="preserve">г) осуществление методической и консультационной поддержки организаций, образующих инфраструктуру поддержки субъектов МСП, по вопросам организации предоставления услуг;</w:t>
      </w:r>
    </w:p>
    <w:p>
      <w:pPr>
        <w:pStyle w:val="0"/>
        <w:spacing w:before="200" w:lineRule="auto"/>
        <w:ind w:firstLine="540"/>
        <w:jc w:val="both"/>
      </w:pPr>
      <w:r>
        <w:rPr>
          <w:sz w:val="20"/>
        </w:rPr>
        <w:t xml:space="preserve">д) разработку и утверждение регламента оказания услуг в центре "Мой бизнес", соответствующего основным параметрам, определенным в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подпункте "д" подпункта 3.2 пункта 3</w:t>
        </w:r>
      </w:hyperlink>
      <w:r>
        <w:rPr>
          <w:sz w:val="20"/>
        </w:rPr>
        <w:t xml:space="preserve">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МСП, и формы документов, сопровождающих процесс предоставления услуги. Регламент оказания услуг в центре "Мой бизнес" включает информацию по следующим блокам:</w:t>
      </w:r>
    </w:p>
    <w:p>
      <w:pPr>
        <w:pStyle w:val="0"/>
        <w:spacing w:before="200" w:lineRule="auto"/>
        <w:ind w:firstLine="540"/>
        <w:jc w:val="both"/>
      </w:pPr>
      <w:r>
        <w:rPr>
          <w:sz w:val="20"/>
        </w:rPr>
        <w:t xml:space="preserve">описание услуг;</w:t>
      </w:r>
    </w:p>
    <w:p>
      <w:pPr>
        <w:pStyle w:val="0"/>
        <w:spacing w:before="200" w:lineRule="auto"/>
        <w:ind w:firstLine="540"/>
        <w:jc w:val="both"/>
      </w:pPr>
      <w:r>
        <w:rPr>
          <w:sz w:val="20"/>
        </w:rPr>
        <w:t xml:space="preserve">описание подуслуг (при наличии);</w:t>
      </w:r>
    </w:p>
    <w:p>
      <w:pPr>
        <w:pStyle w:val="0"/>
        <w:spacing w:before="200" w:lineRule="auto"/>
        <w:ind w:firstLine="540"/>
        <w:jc w:val="both"/>
      </w:pPr>
      <w:r>
        <w:rPr>
          <w:sz w:val="20"/>
        </w:rPr>
        <w:t xml:space="preserve">информация о поставщиках услуг или сотруднике организации, образующей инфраструктуру поддержки субъектов МСП, ответственных (ответственного) за предоставление услуги;</w:t>
      </w:r>
    </w:p>
    <w:p>
      <w:pPr>
        <w:pStyle w:val="0"/>
        <w:spacing w:before="200" w:lineRule="auto"/>
        <w:ind w:firstLine="540"/>
        <w:jc w:val="both"/>
      </w:pPr>
      <w:r>
        <w:rPr>
          <w:sz w:val="20"/>
        </w:rPr>
        <w:t xml:space="preserve">информация о сроках предоставления услуг;</w:t>
      </w:r>
    </w:p>
    <w:p>
      <w:pPr>
        <w:pStyle w:val="0"/>
        <w:spacing w:before="200" w:lineRule="auto"/>
        <w:ind w:firstLine="540"/>
        <w:jc w:val="both"/>
      </w:pPr>
      <w:r>
        <w:rPr>
          <w:sz w:val="20"/>
        </w:rPr>
        <w:t xml:space="preserve">информация о результатах предоставления услуг;</w:t>
      </w:r>
    </w:p>
    <w:p>
      <w:pPr>
        <w:pStyle w:val="0"/>
        <w:spacing w:before="200" w:lineRule="auto"/>
        <w:ind w:firstLine="540"/>
        <w:jc w:val="both"/>
      </w:pPr>
      <w:r>
        <w:rPr>
          <w:sz w:val="20"/>
        </w:rPr>
        <w:t xml:space="preserve">информация о получателях услуг;</w:t>
      </w:r>
    </w:p>
    <w:p>
      <w:pPr>
        <w:pStyle w:val="0"/>
        <w:spacing w:before="200" w:lineRule="auto"/>
        <w:ind w:firstLine="540"/>
        <w:jc w:val="both"/>
      </w:pPr>
      <w:r>
        <w:rPr>
          <w:sz w:val="20"/>
        </w:rPr>
        <w:t xml:space="preserve">информация об этапах предоставления услуг;</w:t>
      </w:r>
    </w:p>
    <w:p>
      <w:pPr>
        <w:pStyle w:val="0"/>
        <w:spacing w:before="200" w:lineRule="auto"/>
        <w:ind w:firstLine="540"/>
        <w:jc w:val="both"/>
      </w:pPr>
      <w:r>
        <w:rPr>
          <w:sz w:val="20"/>
        </w:rPr>
        <w:t xml:space="preserve">перечень документов, представляемых для получения услуг;</w:t>
      </w:r>
    </w:p>
    <w:p>
      <w:pPr>
        <w:pStyle w:val="0"/>
        <w:spacing w:before="200" w:lineRule="auto"/>
        <w:ind w:firstLine="540"/>
        <w:jc w:val="both"/>
      </w:pPr>
      <w:r>
        <w:rPr>
          <w:sz w:val="20"/>
        </w:rPr>
        <w:t xml:space="preserve">порядок информирования заявителя;</w:t>
      </w:r>
    </w:p>
    <w:p>
      <w:pPr>
        <w:pStyle w:val="0"/>
        <w:spacing w:before="200" w:lineRule="auto"/>
        <w:ind w:firstLine="540"/>
        <w:jc w:val="both"/>
      </w:pPr>
      <w:r>
        <w:rPr>
          <w:sz w:val="20"/>
        </w:rPr>
        <w:t xml:space="preserve">особенности предоставления услуг в электронной форме;</w:t>
      </w:r>
    </w:p>
    <w:p>
      <w:pPr>
        <w:pStyle w:val="0"/>
        <w:spacing w:before="200" w:lineRule="auto"/>
        <w:ind w:firstLine="540"/>
        <w:jc w:val="both"/>
      </w:pPr>
      <w:r>
        <w:rPr>
          <w:sz w:val="20"/>
        </w:rPr>
        <w:t xml:space="preserve">информация о плате за предоставление услуг;</w:t>
      </w:r>
    </w:p>
    <w:p>
      <w:pPr>
        <w:pStyle w:val="0"/>
        <w:spacing w:before="200" w:lineRule="auto"/>
        <w:ind w:firstLine="540"/>
        <w:jc w:val="both"/>
      </w:pPr>
      <w:r>
        <w:rPr>
          <w:sz w:val="20"/>
        </w:rPr>
        <w:t xml:space="preserve">форма заявления на предоставление услуг в качестве отдельного приложения к регламенту оказания услуг в центре "Мой бизнес";</w:t>
      </w:r>
    </w:p>
    <w:p>
      <w:pPr>
        <w:pStyle w:val="0"/>
        <w:spacing w:before="200" w:lineRule="auto"/>
        <w:ind w:firstLine="540"/>
        <w:jc w:val="both"/>
      </w:pPr>
      <w:r>
        <w:rPr>
          <w:sz w:val="20"/>
        </w:rPr>
        <w:t xml:space="preserve">информация о предоставлении услуг, в том числе стандартизированных услуг, в электронном виде через ЦП МСП;</w:t>
      </w:r>
    </w:p>
    <w:p>
      <w:pPr>
        <w:pStyle w:val="0"/>
        <w:spacing w:before="200" w:lineRule="auto"/>
        <w:ind w:firstLine="540"/>
        <w:jc w:val="both"/>
      </w:pPr>
      <w:r>
        <w:rPr>
          <w:sz w:val="20"/>
        </w:rPr>
        <w:t xml:space="preserve">е) осуществление взаимодействия с многофункциональным центром предоставления государственных и муниципальных услуг, расположенным на территории субъекта Российской Федерации, уполномоченным на заключение соглашений с органами, предоставляющими государственные или муниципальные услуги,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определенным высшим исполнительным органом государственной власти субъекта Российской Федерации в порядке, предусмотренном </w:t>
      </w:r>
      <w:hyperlink w:history="0" r:id="rId6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2 статьи 15</w:t>
        </w:r>
      </w:hyperlink>
      <w:r>
        <w:rPr>
          <w:sz w:val="20"/>
        </w:rPr>
        <w:t xml:space="preserve"> Федерального закона от 27 июля 2010 г. N 210-ФЗ "Об организации предоставления государственных и муниципальных услуг" (далее - уполномоченный многофункциональный центр);</w:t>
      </w:r>
    </w:p>
    <w:p>
      <w:pPr>
        <w:pStyle w:val="0"/>
        <w:spacing w:before="200" w:lineRule="auto"/>
        <w:ind w:firstLine="540"/>
        <w:jc w:val="both"/>
      </w:pPr>
      <w:r>
        <w:rPr>
          <w:sz w:val="20"/>
        </w:rPr>
        <w:t xml:space="preserve">ж) внедрение единого фирменного стиля для центра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включающего:</w:t>
      </w:r>
    </w:p>
    <w:p>
      <w:pPr>
        <w:pStyle w:val="0"/>
        <w:spacing w:before="200" w:lineRule="auto"/>
        <w:ind w:firstLine="540"/>
        <w:jc w:val="both"/>
      </w:pPr>
      <w:r>
        <w:rPr>
          <w:sz w:val="20"/>
        </w:rPr>
        <w:t xml:space="preserve">оформление полиграфической продукции, предназначенной для информирования субъектов МСП и граждан, планирующих начать предпринимательскую деятельность, об услугах и мерах поддержки, предоставляемых в центре "Мой бизнес";</w:t>
      </w:r>
    </w:p>
    <w:p>
      <w:pPr>
        <w:pStyle w:val="0"/>
        <w:spacing w:before="200" w:lineRule="auto"/>
        <w:ind w:firstLine="540"/>
        <w:jc w:val="both"/>
      </w:pPr>
      <w:r>
        <w:rPr>
          <w:sz w:val="20"/>
        </w:rPr>
        <w:t xml:space="preserve">оформление сайта центра "Мой бизнес";</w:t>
      </w:r>
    </w:p>
    <w:p>
      <w:pPr>
        <w:pStyle w:val="0"/>
        <w:spacing w:before="200" w:lineRule="auto"/>
        <w:ind w:firstLine="540"/>
        <w:jc w:val="both"/>
      </w:pPr>
      <w:r>
        <w:rPr>
          <w:sz w:val="20"/>
        </w:rPr>
        <w:t xml:space="preserve">размещение товарного знака "Мой бизнес" на фасадной вывеске, информационных табличках с режимом работы, навигационных указателях, элементах одежды сотрудников, а также на иных элементах интерьера;</w:t>
      </w:r>
    </w:p>
    <w:p>
      <w:pPr>
        <w:pStyle w:val="0"/>
        <w:spacing w:before="200" w:lineRule="auto"/>
        <w:ind w:firstLine="540"/>
        <w:jc w:val="both"/>
      </w:pPr>
      <w:r>
        <w:rPr>
          <w:sz w:val="20"/>
        </w:rPr>
        <w:t xml:space="preserve">з) деятельность центра "Мой бизнес", включая приобретение оборудования для центра "Мой бизнес", в целях обеспечения функционирования зоны ожидания, информирования, приема и оказания услуг субъектам МСП и гражданам, желающим вести бизнес, помещений для оказания услуг организаций инфраструктуры поддержки субъектов МСП и коворкинга;</w:t>
      </w:r>
    </w:p>
    <w:p>
      <w:pPr>
        <w:pStyle w:val="0"/>
        <w:spacing w:before="200" w:lineRule="auto"/>
        <w:ind w:firstLine="540"/>
        <w:jc w:val="both"/>
      </w:pPr>
      <w:r>
        <w:rPr>
          <w:sz w:val="20"/>
        </w:rPr>
        <w:t xml:space="preserve">и) функционирование сайта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субъектам МСП;</w:t>
      </w:r>
    </w:p>
    <w:p>
      <w:pPr>
        <w:pStyle w:val="0"/>
        <w:spacing w:before="200" w:lineRule="auto"/>
        <w:ind w:firstLine="540"/>
        <w:jc w:val="both"/>
      </w:pPr>
      <w:r>
        <w:rPr>
          <w:sz w:val="20"/>
        </w:rPr>
        <w:t xml:space="preserve">формирование заявления (заявки) о предоставлении услуг, предоставление которых организовано на базе центра "Мой бизнес";</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00" w:lineRule="auto"/>
        <w:ind w:firstLine="540"/>
        <w:jc w:val="both"/>
      </w:pPr>
      <w:r>
        <w:rPr>
          <w:sz w:val="20"/>
        </w:rPr>
        <w:t xml:space="preserve">к) согласование направлений расходования средств субсидии федерального бюджета и бюджета субъекта Российской Федерации на финансирование центра "Мой бизнес" и ключевых показателей эффективности деятельности центра "Мой бизнес" на год, в котором предоставляется субсидия;</w:t>
      </w:r>
    </w:p>
    <w:p>
      <w:pPr>
        <w:pStyle w:val="0"/>
        <w:spacing w:before="200" w:lineRule="auto"/>
        <w:ind w:firstLine="540"/>
        <w:jc w:val="both"/>
      </w:pPr>
      <w:r>
        <w:rPr>
          <w:sz w:val="20"/>
        </w:rPr>
        <w:t xml:space="preserve">л) продвижение информации о деятельности центра "Мой бизнес" в средствах массовой информации, включая телевидение, радио, печать, наружную рекламу, сеть "Интернет", и за счет распространения сувенирной продукции центра "Мой бизнес", включая канцтовары (например ручки, карандаши, блокноты), а также внешние носители информации с символикой центра "Мой бизнес";</w:t>
      </w:r>
    </w:p>
    <w:p>
      <w:pPr>
        <w:pStyle w:val="0"/>
        <w:spacing w:before="200" w:lineRule="auto"/>
        <w:ind w:firstLine="540"/>
        <w:jc w:val="both"/>
      </w:pPr>
      <w:r>
        <w:rPr>
          <w:sz w:val="20"/>
        </w:rPr>
        <w:t xml:space="preserve">м) организацию взаимодействия с Корпорацией МСП в целях разработки единых подходов к оказанию организациями, образующими инфраструктуру поддержки субъектов МСП, услуг и мер поддержки в соответствии с настоящими Требованиями, включая применение универсальных скриптов (сценариев) взаимодействия с субъектами МСП, обращающимися за оказанием поддержки, содержащих перечни типовых вопросов и ответов на них;</w:t>
      </w:r>
    </w:p>
    <w:p>
      <w:pPr>
        <w:pStyle w:val="0"/>
        <w:spacing w:before="200" w:lineRule="auto"/>
        <w:ind w:firstLine="540"/>
        <w:jc w:val="both"/>
      </w:pPr>
      <w:r>
        <w:rPr>
          <w:sz w:val="20"/>
        </w:rPr>
        <w:t xml:space="preserve">н) заполнение и актуализацию на ЦП МСП после запуска соответствующего функционала ЦП МСП в эксплуатацию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центра "Мой бизнес"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центра "Мой бизнес" на год, в котором бюджету субъекта Российской Федерации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и их актуализация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о) направление в Минэкономразвития России ежеквартально, не позднее 15 календарных дней до окончания квартала, информации о планируемых в квартале программах, курсах обучения и иных образовательных мероприятиях для субъектов МСП и граждан, желающим вести бизнес, проводимых организациями, образующими инфраструктуру поддержки субъектов МСП, а также привлекаемыми ими организациями, с указанием тематики, даты проведения, длительности в академических часах и кратким описанием обучающей программы и (или) курса и иного образовательного мероприятия.</w:t>
      </w:r>
    </w:p>
    <w:p>
      <w:pPr>
        <w:pStyle w:val="0"/>
        <w:spacing w:before="200" w:lineRule="auto"/>
        <w:ind w:firstLine="540"/>
        <w:jc w:val="both"/>
      </w:pPr>
      <w:r>
        <w:rPr>
          <w:sz w:val="20"/>
        </w:rPr>
        <w:t xml:space="preserve">3.4. Требования к организациям, образующим инфраструктуру поддержки субъектов МСП.</w:t>
      </w:r>
    </w:p>
    <w:p>
      <w:pPr>
        <w:pStyle w:val="0"/>
        <w:spacing w:before="200" w:lineRule="auto"/>
        <w:ind w:firstLine="540"/>
        <w:jc w:val="both"/>
      </w:pPr>
      <w:r>
        <w:rPr>
          <w:sz w:val="20"/>
        </w:rPr>
        <w:t xml:space="preserve">3.4.1.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0"/>
            <w:color w:val="0000ff"/>
          </w:rPr>
          <w:t xml:space="preserve">подпункте 3.1 пункта 3</w:t>
        </w:r>
      </w:hyperlink>
      <w:r>
        <w:rPr>
          <w:sz w:val="20"/>
        </w:rPr>
        <w:t xml:space="preserve"> настоящих Требований, может быть предоставлена субсидия на создание и (или) развитие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субъектов МСП, направленной на оказание поддержки, и одним из учредителей которых является субъект Российской Федерации, для оказания информационно-консультационных и образовательных услуг, направленных на содействие развитию субъектов МСП и граждан, желающих вести бизнес (далее - ЦПП).</w:t>
      </w:r>
    </w:p>
    <w:p>
      <w:pPr>
        <w:pStyle w:val="0"/>
        <w:spacing w:before="200" w:lineRule="auto"/>
        <w:ind w:firstLine="540"/>
        <w:jc w:val="both"/>
      </w:pPr>
      <w:r>
        <w:rPr>
          <w:sz w:val="20"/>
        </w:rPr>
        <w:t xml:space="preserve">3.4.1.1. Требованиями к предоставлению субсидии на создание и (или) развитие ЦПП являются:</w:t>
      </w:r>
    </w:p>
    <w:p>
      <w:pPr>
        <w:pStyle w:val="0"/>
        <w:spacing w:before="200" w:lineRule="auto"/>
        <w:ind w:firstLine="540"/>
        <w:jc w:val="both"/>
      </w:pPr>
      <w:r>
        <w:rPr>
          <w:sz w:val="20"/>
        </w:rPr>
        <w:t xml:space="preserve">а) наличие на территории субъекта Российской Федерации ЦПП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ЦПП в соответствии с требованиями, установленными </w:t>
      </w:r>
      <w:hyperlink w:history="0" w:anchor="P387" w:tooltip="3.4.1.2. ЦПП должен соответствовать следующим требованиям:">
        <w:r>
          <w:rPr>
            <w:sz w:val="20"/>
            <w:color w:val="0000ff"/>
          </w:rPr>
          <w:t xml:space="preserve">подпунктами 3.4.1.2</w:t>
        </w:r>
      </w:hyperlink>
      <w:r>
        <w:rPr>
          <w:sz w:val="20"/>
        </w:rPr>
        <w:t xml:space="preserve"> - </w:t>
      </w:r>
      <w:hyperlink w:history="0" w:anchor="P473" w:tooltip="3.4.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подпункте 3.4.1.10 пункта 3 настоящих Требований.">
        <w:r>
          <w:rPr>
            <w:sz w:val="20"/>
            <w:color w:val="0000ff"/>
          </w:rPr>
          <w:t xml:space="preserve">3.4.1.11 пункта 3</w:t>
        </w:r>
      </w:hyperlink>
      <w:r>
        <w:rPr>
          <w:sz w:val="20"/>
        </w:rPr>
        <w:t xml:space="preserve"> настоящих Требований;</w:t>
      </w:r>
    </w:p>
    <w:p>
      <w:pPr>
        <w:pStyle w:val="0"/>
        <w:spacing w:before="200" w:lineRule="auto"/>
        <w:ind w:firstLine="540"/>
        <w:jc w:val="both"/>
      </w:pPr>
      <w:r>
        <w:rPr>
          <w:sz w:val="20"/>
        </w:rPr>
        <w:t xml:space="preserve">в) наличие направлений расходования средств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г) наличие ключевых показателей эффективности деятельности ЦПП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д) наличие обязательства субъекта Российской Федерации обеспечить функционирование ЦПП в течение не менее 10 лет со дня его создания за счет средств субсидии;</w:t>
      </w:r>
    </w:p>
    <w:p>
      <w:pPr>
        <w:pStyle w:val="0"/>
        <w:spacing w:before="200" w:lineRule="auto"/>
        <w:ind w:firstLine="540"/>
        <w:jc w:val="both"/>
      </w:pPr>
      <w:r>
        <w:rPr>
          <w:sz w:val="20"/>
        </w:rPr>
        <w:t xml:space="preserve">е) обеспечение текущего финансирования деятельности ЦПП.</w:t>
      </w:r>
    </w:p>
    <w:bookmarkStart w:id="387" w:name="P387"/>
    <w:bookmarkEnd w:id="387"/>
    <w:p>
      <w:pPr>
        <w:pStyle w:val="0"/>
        <w:spacing w:before="200" w:lineRule="auto"/>
        <w:ind w:firstLine="540"/>
        <w:jc w:val="both"/>
      </w:pPr>
      <w:r>
        <w:rPr>
          <w:sz w:val="20"/>
        </w:rPr>
        <w:t xml:space="preserve">3.4.1.2. ЦПП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ведение раздельного бухгалтерского учета по денежным средствам, предоставленным ЦПП за счет средств бюджетов всех уровней и внебюджетных источников;</w:t>
      </w:r>
    </w:p>
    <w:p>
      <w:pPr>
        <w:pStyle w:val="0"/>
        <w:spacing w:before="200" w:lineRule="auto"/>
        <w:ind w:firstLine="540"/>
        <w:jc w:val="both"/>
      </w:pPr>
      <w:r>
        <w:rPr>
          <w:sz w:val="20"/>
        </w:rPr>
        <w:t xml:space="preserve">г) разрабатывать программу (стратегию, концепцию) развития ЦПП на среднесрочный (не менее 3 лет) плановый период;</w:t>
      </w:r>
    </w:p>
    <w:p>
      <w:pPr>
        <w:pStyle w:val="0"/>
        <w:spacing w:before="200" w:lineRule="auto"/>
        <w:ind w:firstLine="540"/>
        <w:jc w:val="both"/>
      </w:pPr>
      <w:r>
        <w:rPr>
          <w:sz w:val="20"/>
        </w:rPr>
        <w:t xml:space="preserve">д) обеспечивать наличие не менее 3 рабочих мест, каждое из которых оборудовано мебелью, компьютером, принтером и телефоном с выходом на городскую линию и междугородную связь и обеспечено доступом к интернет-связи;</w:t>
      </w:r>
    </w:p>
    <w:p>
      <w:pPr>
        <w:pStyle w:val="0"/>
        <w:spacing w:before="200" w:lineRule="auto"/>
        <w:ind w:firstLine="540"/>
        <w:jc w:val="both"/>
      </w:pPr>
      <w:r>
        <w:rPr>
          <w:sz w:val="20"/>
        </w:rPr>
        <w:t xml:space="preserve">е) обеспечивать наличие центра оперативной поддержки предпринимательства (горячей линии) с использованием средств телефонной связи и сети "Интернет" в случае введения на территории субъекта Российской Федерации или муниципального образования режимов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или предотвращение ведения боевых действий против Российской Федерации и устранение угроз жизни и здоровью людей;</w:t>
      </w:r>
    </w:p>
    <w:p>
      <w:pPr>
        <w:pStyle w:val="0"/>
        <w:spacing w:before="200" w:lineRule="auto"/>
        <w:ind w:firstLine="540"/>
        <w:jc w:val="both"/>
      </w:pPr>
      <w:r>
        <w:rPr>
          <w:sz w:val="20"/>
        </w:rPr>
        <w:t xml:space="preserve">ж) обеспечивать наличие специального раздела ЦПП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ЦПП;</w:t>
      </w:r>
    </w:p>
    <w:p>
      <w:pPr>
        <w:pStyle w:val="0"/>
        <w:spacing w:before="200" w:lineRule="auto"/>
        <w:ind w:firstLine="540"/>
        <w:jc w:val="both"/>
      </w:pPr>
      <w:r>
        <w:rPr>
          <w:sz w:val="20"/>
        </w:rPr>
        <w:t xml:space="preserve">формирование заявления (заявки) о предоставлении услуги ЦПП в форме электронного документа;</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00" w:lineRule="auto"/>
        <w:ind w:firstLine="540"/>
        <w:jc w:val="both"/>
      </w:pPr>
      <w:r>
        <w:rPr>
          <w:sz w:val="20"/>
        </w:rPr>
        <w:t xml:space="preserve">з)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и) обеспечивать внесение и актуализацию общих сведений о ЦПП на ЦП МСП;</w:t>
      </w:r>
    </w:p>
    <w:p>
      <w:pPr>
        <w:pStyle w:val="0"/>
        <w:spacing w:before="200" w:lineRule="auto"/>
        <w:ind w:firstLine="540"/>
        <w:jc w:val="both"/>
      </w:pPr>
      <w:r>
        <w:rPr>
          <w:sz w:val="20"/>
        </w:rPr>
        <w:t xml:space="preserve">к) обеспечивать публикацию на ЦП МСП сведений об услугах (мерах поддержки), оказываемых ЦПП с использованием ЦП МСП;</w:t>
      </w:r>
    </w:p>
    <w:p>
      <w:pPr>
        <w:pStyle w:val="0"/>
        <w:spacing w:before="200" w:lineRule="auto"/>
        <w:ind w:firstLine="540"/>
        <w:jc w:val="both"/>
      </w:pPr>
      <w:r>
        <w:rPr>
          <w:sz w:val="20"/>
        </w:rPr>
        <w:t xml:space="preserve">л) обеспечивать оказание услуг и мер поддержки в соответствии с функционалом ЦП МСП в случае подачи заявки с использованием ЦП МСП;</w:t>
      </w:r>
    </w:p>
    <w:p>
      <w:pPr>
        <w:pStyle w:val="0"/>
        <w:spacing w:before="200" w:lineRule="auto"/>
        <w:ind w:firstLine="540"/>
        <w:jc w:val="both"/>
      </w:pPr>
      <w:r>
        <w:rPr>
          <w:sz w:val="20"/>
        </w:rPr>
        <w:t xml:space="preserve">м) обеспечивать внесение и актуализацию сведений об оказанных ЦПП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н) обеспечивать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 в случае если ЦПП определен в соответствии с настоящими Требованиями в качестве единого органа управления организациями, образующими инфраструктуру поддержки МСП;</w:t>
      </w:r>
    </w:p>
    <w:p>
      <w:pPr>
        <w:pStyle w:val="0"/>
        <w:spacing w:before="200" w:lineRule="auto"/>
        <w:ind w:firstLine="540"/>
        <w:jc w:val="both"/>
      </w:pPr>
      <w:r>
        <w:rPr>
          <w:sz w:val="20"/>
        </w:rPr>
        <w:t xml:space="preserve">о)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ЦПП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и их актуализация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п)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ЦПП в многофункциональных центрах для бизнеса;</w:t>
      </w:r>
    </w:p>
    <w:p>
      <w:pPr>
        <w:pStyle w:val="0"/>
        <w:spacing w:before="200" w:lineRule="auto"/>
        <w:ind w:firstLine="540"/>
        <w:jc w:val="both"/>
      </w:pPr>
      <w:r>
        <w:rPr>
          <w:sz w:val="20"/>
        </w:rPr>
        <w:t xml:space="preserve">р) функционировать в течение не менее 10 лет со дня его создания за счет субсидии.</w:t>
      </w:r>
    </w:p>
    <w:bookmarkStart w:id="409" w:name="P409"/>
    <w:bookmarkEnd w:id="409"/>
    <w:p>
      <w:pPr>
        <w:pStyle w:val="0"/>
        <w:spacing w:before="200" w:lineRule="auto"/>
        <w:ind w:firstLine="540"/>
        <w:jc w:val="both"/>
      </w:pPr>
      <w:r>
        <w:rPr>
          <w:sz w:val="20"/>
        </w:rPr>
        <w:t xml:space="preserve">3.4.1.3. ЦПП в рамках своей деятельности должен обеспечивать:</w:t>
      </w:r>
    </w:p>
    <w:p>
      <w:pPr>
        <w:pStyle w:val="0"/>
        <w:spacing w:before="200" w:lineRule="auto"/>
        <w:ind w:firstLine="540"/>
        <w:jc w:val="both"/>
      </w:pPr>
      <w:r>
        <w:rPr>
          <w:sz w:val="20"/>
        </w:rPr>
        <w:t xml:space="preserve">а) продвижение информации об услугах ЦПП,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б) предоставление субъектам МСП и гражданам, желающим вести бизнес, услуг, указанных в </w:t>
      </w:r>
      <w:hyperlink w:history="0" w:anchor="P427" w:tooltip="3.4.1.4. ЦПП должен обеспечивать предоставление субъектам МСП, гражданам, желающим вести бизнес, следующих услуг:">
        <w:r>
          <w:rPr>
            <w:sz w:val="20"/>
            <w:color w:val="0000ff"/>
          </w:rPr>
          <w:t xml:space="preserve">подпункте 3.4.1.4 пункта 3</w:t>
        </w:r>
      </w:hyperlink>
      <w:r>
        <w:rPr>
          <w:sz w:val="20"/>
        </w:rPr>
        <w:t xml:space="preserve"> настоящих Требований, или связанных с ними иных услуг организаций, образующих инфраструктуру поддержки субъектов МСП, предусмотренных в соответствии с настоящими Требованиями;</w:t>
      </w:r>
    </w:p>
    <w:p>
      <w:pPr>
        <w:pStyle w:val="0"/>
        <w:spacing w:before="200" w:lineRule="auto"/>
        <w:ind w:firstLine="540"/>
        <w:jc w:val="both"/>
      </w:pPr>
      <w:r>
        <w:rPr>
          <w:sz w:val="20"/>
        </w:rPr>
        <w:t xml:space="preserve">в) организацию центра оперативной поддержки предпринимательства (горячей линии) с использованием средств телефонной связи и сети "Интернет" в случае введения на территории субъекта Российской Федерации или муниципального образования режимов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или предотвращение ведения боевых действий против Российской Федерации и устранение угроз жизни и здоровью людей;</w:t>
      </w:r>
    </w:p>
    <w:p>
      <w:pPr>
        <w:pStyle w:val="0"/>
        <w:spacing w:before="200" w:lineRule="auto"/>
        <w:ind w:firstLine="540"/>
        <w:jc w:val="both"/>
      </w:pPr>
      <w:r>
        <w:rPr>
          <w:sz w:val="20"/>
        </w:rPr>
        <w:t xml:space="preserve">г) реализацию мероприятий, направленных на популяризацию предпринимательства и начала осуществления предпринимательской деятельности, в том числе путем организации и проведения круглых столов, конференций, семинаров, вебинаров и иных публичных мероприятий, а также издания информационных пособий;</w:t>
      </w:r>
    </w:p>
    <w:p>
      <w:pPr>
        <w:pStyle w:val="0"/>
        <w:spacing w:before="200" w:lineRule="auto"/>
        <w:ind w:firstLine="540"/>
        <w:jc w:val="both"/>
      </w:pPr>
      <w:r>
        <w:rPr>
          <w:sz w:val="20"/>
        </w:rPr>
        <w:t xml:space="preserve">д) функционирование специального раздела ЦПП на сайте центра "Мой бизнес", ведение учетных записей (аккаунтов) в сети "Интернет", направленных на информирование субъектов МСП об оказываемых услугах и видах поддержки;</w:t>
      </w:r>
    </w:p>
    <w:p>
      <w:pPr>
        <w:pStyle w:val="0"/>
        <w:spacing w:before="200" w:lineRule="auto"/>
        <w:ind w:firstLine="540"/>
        <w:jc w:val="both"/>
      </w:pPr>
      <w:r>
        <w:rPr>
          <w:sz w:val="20"/>
        </w:rPr>
        <w:t xml:space="preserve">е) организацию проведения обучающих мероприятий, направленных на повышение квалификации или переподготовки сотрудников субъектов МСП по вопросам осуществления предпринимательской деятельности, в том числе по вопросам расширения производства, повышения производительности труда субъектами МСП,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государственной регистрации результатов интеллектуальной деятельности и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ведения бухгалтерского и налогового учета, управления персоналом, освоения новых рынков сбыта;</w:t>
      </w:r>
    </w:p>
    <w:p>
      <w:pPr>
        <w:pStyle w:val="0"/>
        <w:spacing w:before="200" w:lineRule="auto"/>
        <w:ind w:firstLine="540"/>
        <w:jc w:val="both"/>
      </w:pPr>
      <w:r>
        <w:rPr>
          <w:sz w:val="20"/>
        </w:rPr>
        <w:t xml:space="preserve">ж) организацию проведения программ обучения для субъектов МСП, граждан, желающим вести бизнес, с целью повышения квалификации по вопросам осуществления предпринимательской деятельности, а также для субъектов МСП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продолжительностью от 16 до 48 академических часов;</w:t>
      </w:r>
    </w:p>
    <w:p>
      <w:pPr>
        <w:pStyle w:val="0"/>
        <w:spacing w:before="200" w:lineRule="auto"/>
        <w:ind w:firstLine="540"/>
        <w:jc w:val="both"/>
      </w:pPr>
      <w:r>
        <w:rPr>
          <w:sz w:val="20"/>
        </w:rPr>
        <w:t xml:space="preserve">з) организацию проведения программ обучения для заявителей, подавших заявление о назначении государственной социальной помощи на основании социального контракта, отметив в нем мероприятия "Осуществление индивидуальной предпринимательской деятельности" или "Ведение личного подсобного хозяйства" и прошедших тестирование с неудовлетворительным результатом в соответствии с </w:t>
      </w:r>
      <w:hyperlink w:history="0" r:id="rId62"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0"/>
            <w:color w:val="0000ff"/>
          </w:rPr>
          <w:t xml:space="preserve">абзацем вторым пункта 36</w:t>
        </w:r>
      </w:hyperlink>
      <w:r>
        <w:rPr>
          <w:sz w:val="20"/>
        </w:rPr>
        <w:t xml:space="preserve">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Правительства Российской Федерации от 16 ноября 2023 г. N 1931, продолжительностью от 16 до 48 академических часов, отобранных Минэкономразвития России в рамках реализации федерального проекта;</w:t>
      </w:r>
    </w:p>
    <w:p>
      <w:pPr>
        <w:pStyle w:val="0"/>
        <w:spacing w:before="200" w:lineRule="auto"/>
        <w:ind w:firstLine="540"/>
        <w:jc w:val="both"/>
      </w:pPr>
      <w:r>
        <w:rPr>
          <w:sz w:val="20"/>
        </w:rPr>
        <w:t xml:space="preserve">и) организацию обучения и повышения квалификации сотрудников ЦПП;</w:t>
      </w:r>
    </w:p>
    <w:p>
      <w:pPr>
        <w:pStyle w:val="0"/>
        <w:spacing w:before="200" w:lineRule="auto"/>
        <w:ind w:firstLine="540"/>
        <w:jc w:val="both"/>
      </w:pPr>
      <w:r>
        <w:rPr>
          <w:sz w:val="20"/>
        </w:rPr>
        <w:t xml:space="preserve">к)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ЦПП,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p>
      <w:pPr>
        <w:pStyle w:val="0"/>
        <w:spacing w:before="200" w:lineRule="auto"/>
        <w:ind w:firstLine="540"/>
        <w:jc w:val="both"/>
      </w:pPr>
      <w:r>
        <w:rPr>
          <w:sz w:val="20"/>
        </w:rPr>
        <w:t xml:space="preserve">л) планирование межрегиональных бизнес-миссий, в которых принимают участие представители не менее 3 субъектов МСП, в другие субъекты Российской Федерации с предварительной организационной подготовкой, включающей определение потенциальных заинтересованных лиц,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(далее - межрегиональная бизнес-миссия) с целью оказания содействия субъектам МСП, осуществляющим деятельность в субъекте Российской Федерации, в заключении контрактов на поставку товаров (работ, услуг) в другие субъекты Российской Федерации;</w:t>
      </w:r>
    </w:p>
    <w:p>
      <w:pPr>
        <w:pStyle w:val="0"/>
        <w:spacing w:before="200" w:lineRule="auto"/>
        <w:ind w:firstLine="540"/>
        <w:jc w:val="both"/>
      </w:pPr>
      <w:r>
        <w:rPr>
          <w:sz w:val="20"/>
        </w:rPr>
        <w:t xml:space="preserve">м) организацию прохождения бизнес-инкубатором ежегодной оценки эффективности и обучения сотрудников бизнес-инкубатора, в том числе подготовки менеджеров для бизнес-инкубатора;</w:t>
      </w:r>
    </w:p>
    <w:p>
      <w:pPr>
        <w:pStyle w:val="0"/>
        <w:spacing w:before="200" w:lineRule="auto"/>
        <w:ind w:firstLine="540"/>
        <w:jc w:val="both"/>
      </w:pPr>
      <w:r>
        <w:rPr>
          <w:sz w:val="20"/>
        </w:rPr>
        <w:t xml:space="preserve">н) проведение региональных этапов всероссийских мероприятий (конкурсов, премий и иных мероприятий), в том числе регионального этапа Всероссийского конкурса проектов в области социального предпринимательства и социально ориентированной некоммерческой организации "Мой добрый бизнес" (далее - Конкурс);</w:t>
      </w:r>
    </w:p>
    <w:p>
      <w:pPr>
        <w:pStyle w:val="0"/>
        <w:spacing w:before="200" w:lineRule="auto"/>
        <w:ind w:firstLine="540"/>
        <w:jc w:val="both"/>
      </w:pPr>
      <w:r>
        <w:rPr>
          <w:sz w:val="20"/>
        </w:rPr>
        <w:t xml:space="preserve">о) участие в межрегиональных, общероссийских и международных мероприятиях, направленных на поддержку и развитие предпринимательства;</w:t>
      </w:r>
    </w:p>
    <w:p>
      <w:pPr>
        <w:pStyle w:val="0"/>
        <w:spacing w:before="200" w:lineRule="auto"/>
        <w:ind w:firstLine="540"/>
        <w:jc w:val="both"/>
      </w:pPr>
      <w:r>
        <w:rPr>
          <w:sz w:val="20"/>
        </w:rPr>
        <w:t xml:space="preserve">п) организацию программ по наставничеству для начинающих субъектов МСП;</w:t>
      </w:r>
    </w:p>
    <w:p>
      <w:pPr>
        <w:pStyle w:val="0"/>
        <w:spacing w:before="200" w:lineRule="auto"/>
        <w:ind w:firstLine="540"/>
        <w:jc w:val="both"/>
      </w:pPr>
      <w:r>
        <w:rPr>
          <w:sz w:val="20"/>
        </w:rPr>
        <w:t xml:space="preserve">р) мониторинг деятельности субъектов МСП, которым предоставлены комплексные услуги ЦПП.</w:t>
      </w:r>
    </w:p>
    <w:p>
      <w:pPr>
        <w:pStyle w:val="0"/>
        <w:spacing w:before="200" w:lineRule="auto"/>
        <w:ind w:firstLine="540"/>
        <w:jc w:val="both"/>
      </w:pPr>
      <w:r>
        <w:rPr>
          <w:sz w:val="20"/>
        </w:rPr>
        <w:t xml:space="preserve">3.4.1.3.1. В целях реализации требований, указанных в </w:t>
      </w:r>
      <w:hyperlink w:history="0" w:anchor="P409" w:tooltip="3.4.1.3. ЦПП в рамках своей деятельности должен обеспечивать:">
        <w:r>
          <w:rPr>
            <w:sz w:val="20"/>
            <w:color w:val="0000ff"/>
          </w:rPr>
          <w:t xml:space="preserve">подпункте 3.4.1.3 пункта 3</w:t>
        </w:r>
      </w:hyperlink>
      <w:r>
        <w:rPr>
          <w:sz w:val="20"/>
        </w:rPr>
        <w:t xml:space="preserve"> настоящих Требований, ЦПП может привлекать специализированные организации и квалифицированных специалистов.</w:t>
      </w:r>
    </w:p>
    <w:bookmarkStart w:id="427" w:name="P427"/>
    <w:bookmarkEnd w:id="427"/>
    <w:p>
      <w:pPr>
        <w:pStyle w:val="0"/>
        <w:spacing w:before="200" w:lineRule="auto"/>
        <w:ind w:firstLine="540"/>
        <w:jc w:val="both"/>
      </w:pPr>
      <w:r>
        <w:rPr>
          <w:sz w:val="20"/>
        </w:rPr>
        <w:t xml:space="preserve">3.4.1.4. ЦПП должен обеспечивать предоставление субъектам МСП, гражданам, желающим вести бизнес, следующих услуг:</w:t>
      </w:r>
    </w:p>
    <w:p>
      <w:pPr>
        <w:pStyle w:val="0"/>
        <w:spacing w:before="200" w:lineRule="auto"/>
        <w:ind w:firstLine="540"/>
        <w:jc w:val="both"/>
      </w:pPr>
      <w:r>
        <w:rPr>
          <w:sz w:val="20"/>
        </w:rPr>
        <w:t xml:space="preserve">1) услуга скоринга;</w:t>
      </w:r>
    </w:p>
    <w:p>
      <w:pPr>
        <w:pStyle w:val="0"/>
        <w:spacing w:before="200" w:lineRule="auto"/>
        <w:ind w:firstLine="540"/>
        <w:jc w:val="both"/>
      </w:pPr>
      <w:r>
        <w:rPr>
          <w:sz w:val="20"/>
        </w:rPr>
        <w:t xml:space="preserve">2) консультирование об услугах ЦПП;</w:t>
      </w:r>
    </w:p>
    <w:p>
      <w:pPr>
        <w:pStyle w:val="0"/>
        <w:spacing w:before="200" w:lineRule="auto"/>
        <w:ind w:firstLine="540"/>
        <w:jc w:val="both"/>
      </w:pPr>
      <w:r>
        <w:rPr>
          <w:sz w:val="20"/>
        </w:rPr>
        <w:t xml:space="preserve">3) консультационные услуги по вопросам начала ведения предпринимательской деятельности для граждан, планирующих осуществление предпринимательской деятельности;</w:t>
      </w:r>
    </w:p>
    <w:p>
      <w:pPr>
        <w:pStyle w:val="0"/>
        <w:spacing w:before="200" w:lineRule="auto"/>
        <w:ind w:firstLine="540"/>
        <w:jc w:val="both"/>
      </w:pPr>
      <w:r>
        <w:rPr>
          <w:sz w:val="20"/>
        </w:rPr>
        <w:t xml:space="preserve">4)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pPr>
        <w:pStyle w:val="0"/>
        <w:spacing w:before="200" w:lineRule="auto"/>
        <w:ind w:firstLine="540"/>
        <w:jc w:val="both"/>
      </w:pPr>
      <w:r>
        <w:rPr>
          <w:sz w:val="20"/>
        </w:rPr>
        <w:t xml:space="preserve">5) консультационные услуги по вопросам маркетингового сопровождения деятельности и бизнес-планирования субъектов МСП, в том числе граждан, желающих вести бизнес (разработка маркетинговой стратегии и планов, в том числе бизнес-планов для граждан, желающих вести бизнес, рекламной кампании, дизайна, разработка и продвижение средств индивидуализации субъекта МСП товара, работы, услуги и иного обозначения, предназначенного для идентификации субъекта МСП, организация системы сбыта продукции (товаров, работ, услуг), популяризация продукции (товаров, работ, услуг);</w:t>
      </w:r>
    </w:p>
    <w:p>
      <w:pPr>
        <w:pStyle w:val="0"/>
        <w:spacing w:before="200" w:lineRule="auto"/>
        <w:ind w:firstLine="540"/>
        <w:jc w:val="both"/>
      </w:pPr>
      <w:r>
        <w:rPr>
          <w:sz w:val="20"/>
        </w:rPr>
        <w:t xml:space="preserve">6) консультационные услуги по вопросам патентно-лицензионного сопровождения деятельности субъекта МСП (формирование патентно-лицензионной политики, патентование, разработка лицензионных договоров, определение цены лицензионного договора);</w:t>
      </w:r>
    </w:p>
    <w:p>
      <w:pPr>
        <w:pStyle w:val="0"/>
        <w:spacing w:before="200" w:lineRule="auto"/>
        <w:ind w:firstLine="540"/>
        <w:jc w:val="both"/>
      </w:pPr>
      <w:r>
        <w:rPr>
          <w:sz w:val="20"/>
        </w:rPr>
        <w:t xml:space="preserve">7)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анализа для определения потенциальных контрагентов и конкурентов, выявления и отбора объектов лицензионного договора, приобретения права на получение патента;</w:t>
      </w:r>
    </w:p>
    <w:p>
      <w:pPr>
        <w:pStyle w:val="0"/>
        <w:spacing w:before="200" w:lineRule="auto"/>
        <w:ind w:firstLine="540"/>
        <w:jc w:val="both"/>
      </w:pPr>
      <w:r>
        <w:rPr>
          <w:sz w:val="20"/>
        </w:rPr>
        <w:t xml:space="preserve">8) консультационные услуги по вопросам правового обеспечения деятельности субъектов МСП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составление направляемых в суд документов (исков, отзывов и иных процессуальных документов), обеспечение представления интересов субъекта МСП в органах государственной власти и органах местного самоуправления при проведении мероприятий по контролю);</w:t>
      </w:r>
    </w:p>
    <w:p>
      <w:pPr>
        <w:pStyle w:val="0"/>
        <w:spacing w:before="200" w:lineRule="auto"/>
        <w:ind w:firstLine="540"/>
        <w:jc w:val="both"/>
      </w:pPr>
      <w:r>
        <w:rPr>
          <w:sz w:val="20"/>
        </w:rPr>
        <w:t xml:space="preserve">9) консультационные услуги по вопросам информационного сопровождения деятельности субъектов МСП;</w:t>
      </w:r>
    </w:p>
    <w:p>
      <w:pPr>
        <w:pStyle w:val="0"/>
        <w:spacing w:before="200" w:lineRule="auto"/>
        <w:ind w:firstLine="540"/>
        <w:jc w:val="both"/>
      </w:pPr>
      <w:r>
        <w:rPr>
          <w:sz w:val="20"/>
        </w:rPr>
        <w:t xml:space="preserve">10) консультационные услуги по подбору персонала, по вопросам применения трудового законодательства (в том числе по оформлению необходимых документов для приема на работу, а также разрешений на право привлечения к труду иностранных граждан);</w:t>
      </w:r>
    </w:p>
    <w:p>
      <w:pPr>
        <w:pStyle w:val="0"/>
        <w:spacing w:before="200" w:lineRule="auto"/>
        <w:ind w:firstLine="540"/>
        <w:jc w:val="both"/>
      </w:pPr>
      <w:r>
        <w:rPr>
          <w:sz w:val="20"/>
        </w:rPr>
        <w:t xml:space="preserve">11) услуги по организации сертификации товаров, работ и услуг субъектов МСП (в том числе международной), а также сертификации (при наличии соответствующей квалификации) субъектов МСП по системе менеджмента качества в соответствии с международными стандартами;</w:t>
      </w:r>
    </w:p>
    <w:p>
      <w:pPr>
        <w:pStyle w:val="0"/>
        <w:spacing w:before="200" w:lineRule="auto"/>
        <w:ind w:firstLine="540"/>
        <w:jc w:val="both"/>
      </w:pPr>
      <w:r>
        <w:rPr>
          <w:sz w:val="20"/>
        </w:rPr>
        <w:t xml:space="preserve">12) содействие в размещении субъекта МСП на электронной торговой площадке, в том числе содействие в регистрации учетной записи (аккаунта) на электронной торговой площадке, в ежемесячном продвижении продукции субъекта МСП на электронной торговой площадке, софинансирование затрат, связанных в том числе с хранением и доставкой, при реализации продукции (товаров, работ, услуг) субъекта МСП на электронной торговой площадке;</w:t>
      </w:r>
    </w:p>
    <w:p>
      <w:pPr>
        <w:pStyle w:val="0"/>
        <w:spacing w:before="200" w:lineRule="auto"/>
        <w:ind w:firstLine="540"/>
        <w:jc w:val="both"/>
      </w:pPr>
      <w:r>
        <w:rPr>
          <w:sz w:val="20"/>
        </w:rPr>
        <w:t xml:space="preserve">13) предоставление информации о возможностях получения кредитных и иных финансовых ресурсов;</w:t>
      </w:r>
    </w:p>
    <w:p>
      <w:pPr>
        <w:pStyle w:val="0"/>
        <w:spacing w:before="200" w:lineRule="auto"/>
        <w:ind w:firstLine="540"/>
        <w:jc w:val="both"/>
      </w:pPr>
      <w:r>
        <w:rPr>
          <w:sz w:val="20"/>
        </w:rPr>
        <w:t xml:space="preserve">14) анализ потенциала, выявление текущих потребностей и проблем субъектов МСП, влияющих на их конкурентоспособность;</w:t>
      </w:r>
    </w:p>
    <w:p>
      <w:pPr>
        <w:pStyle w:val="0"/>
        <w:spacing w:before="200" w:lineRule="auto"/>
        <w:ind w:firstLine="540"/>
        <w:jc w:val="both"/>
      </w:pPr>
      <w:r>
        <w:rPr>
          <w:sz w:val="20"/>
        </w:rPr>
        <w:t xml:space="preserve">15) иные консультационные услуги в целях содействия развитию деятельности субъектов МСП;</w:t>
      </w:r>
    </w:p>
    <w:p>
      <w:pPr>
        <w:pStyle w:val="0"/>
        <w:spacing w:before="200" w:lineRule="auto"/>
        <w:ind w:firstLine="540"/>
        <w:jc w:val="both"/>
      </w:pPr>
      <w:r>
        <w:rPr>
          <w:sz w:val="20"/>
        </w:rPr>
        <w:t xml:space="preserve">16) проведение для граждан, желающих вести бизнес, субъектов МСП мероприятий, направленных на формирование и (или) развитие предпринимательских компетенций, в том числе семинаров, конференций, форумов, круглых столов, издание пособий, брошюр, методических материалов;</w:t>
      </w:r>
    </w:p>
    <w:p>
      <w:pPr>
        <w:pStyle w:val="0"/>
        <w:spacing w:before="200" w:lineRule="auto"/>
        <w:ind w:firstLine="540"/>
        <w:jc w:val="both"/>
      </w:pPr>
      <w:r>
        <w:rPr>
          <w:sz w:val="20"/>
        </w:rPr>
        <w:t xml:space="preserve">17) организация и проведение программ обучения для субъектов МСП, граждан, желающих начать бизнес, с целью повышения квалификации по вопросам осуществления предпринимательской деятельности, а также для субъектов МСП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p>
      <w:pPr>
        <w:pStyle w:val="0"/>
        <w:spacing w:before="200" w:lineRule="auto"/>
        <w:ind w:firstLine="540"/>
        <w:jc w:val="both"/>
      </w:pPr>
      <w:r>
        <w:rPr>
          <w:sz w:val="20"/>
        </w:rPr>
        <w:t xml:space="preserve">18) организация участия субъектов МСП в межрегиональных бизнес-миссиях;</w:t>
      </w:r>
    </w:p>
    <w:p>
      <w:pPr>
        <w:pStyle w:val="0"/>
        <w:spacing w:before="200" w:lineRule="auto"/>
        <w:ind w:firstLine="540"/>
        <w:jc w:val="both"/>
      </w:pPr>
      <w:r>
        <w:rPr>
          <w:sz w:val="20"/>
        </w:rPr>
        <w:t xml:space="preserve">19) организация проведения и (или) обеспечение участия субъектов МСП в выставочно-ярмарочных и конгрессных мероприятиях на территории Российской Федерации в целях продвижения товаров (работ, услуг) субъектов МСП, развития предпринимательской деятельности, в том числе стимулирования процесса импортозамещения;</w:t>
      </w:r>
    </w:p>
    <w:p>
      <w:pPr>
        <w:pStyle w:val="0"/>
        <w:spacing w:before="200" w:lineRule="auto"/>
        <w:ind w:firstLine="540"/>
        <w:jc w:val="both"/>
      </w:pPr>
      <w:r>
        <w:rPr>
          <w:sz w:val="20"/>
        </w:rPr>
        <w:t xml:space="preserve">20) 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pPr>
        <w:pStyle w:val="0"/>
        <w:spacing w:before="200" w:lineRule="auto"/>
        <w:ind w:firstLine="540"/>
        <w:jc w:val="both"/>
      </w:pPr>
      <w:r>
        <w:rPr>
          <w:sz w:val="20"/>
        </w:rPr>
        <w:t xml:space="preserve">21) услуги по предоставлению субъектам МСП на льготных условиях оборудованных рабочих мест, включающих наличие стола, стула, доступа к бытовой электросети, и сопутствующих сервисов: печати документов, доступа в сеть "Интернет", хранения личных вещей в частных коворкингах, которые расположены на территории субъекта Российской Федерации;</w:t>
      </w:r>
    </w:p>
    <w:p>
      <w:pPr>
        <w:pStyle w:val="0"/>
        <w:spacing w:before="200" w:lineRule="auto"/>
        <w:ind w:firstLine="540"/>
        <w:jc w:val="both"/>
      </w:pPr>
      <w:r>
        <w:rPr>
          <w:sz w:val="20"/>
        </w:rPr>
        <w:t xml:space="preserve">22)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МСП;</w:t>
      </w:r>
    </w:p>
    <w:p>
      <w:pPr>
        <w:pStyle w:val="0"/>
        <w:spacing w:before="200" w:lineRule="auto"/>
        <w:ind w:firstLine="540"/>
        <w:jc w:val="both"/>
      </w:pPr>
      <w:r>
        <w:rPr>
          <w:sz w:val="20"/>
        </w:rPr>
        <w:t xml:space="preserve">23) консультационные услуги по вопросам участия в закупках для государственных и муниципальных нужд, участия в закупках организаций с государственным участием;</w:t>
      </w:r>
    </w:p>
    <w:p>
      <w:pPr>
        <w:pStyle w:val="0"/>
        <w:spacing w:before="200" w:lineRule="auto"/>
        <w:ind w:firstLine="540"/>
        <w:jc w:val="both"/>
      </w:pPr>
      <w:r>
        <w:rPr>
          <w:sz w:val="20"/>
        </w:rPr>
        <w:t xml:space="preserve">24) консультационные услуги по порядку построения логистики на территории Российской Федерации;</w:t>
      </w:r>
    </w:p>
    <w:p>
      <w:pPr>
        <w:pStyle w:val="0"/>
        <w:spacing w:before="200" w:lineRule="auto"/>
        <w:ind w:firstLine="540"/>
        <w:jc w:val="both"/>
      </w:pPr>
      <w:r>
        <w:rPr>
          <w:sz w:val="20"/>
        </w:rPr>
        <w:t xml:space="preserve">25) маркетинговые услуги, связанные с разработкой сайтов, рекламной продукции и бренда;</w:t>
      </w:r>
    </w:p>
    <w:p>
      <w:pPr>
        <w:pStyle w:val="0"/>
        <w:spacing w:before="200" w:lineRule="auto"/>
        <w:ind w:firstLine="540"/>
        <w:jc w:val="both"/>
      </w:pPr>
      <w:r>
        <w:rPr>
          <w:sz w:val="20"/>
        </w:rPr>
        <w:t xml:space="preserve">26) содействие в регистрации товарного знака, знака обслуживания субъекта МСП;</w:t>
      </w:r>
    </w:p>
    <w:p>
      <w:pPr>
        <w:pStyle w:val="0"/>
        <w:spacing w:before="200" w:lineRule="auto"/>
        <w:ind w:firstLine="540"/>
        <w:jc w:val="both"/>
      </w:pPr>
      <w:r>
        <w:rPr>
          <w:sz w:val="20"/>
        </w:rPr>
        <w:t xml:space="preserve">27) услуги по проведению маркетинговых исследований для субъектов МСП;</w:t>
      </w:r>
    </w:p>
    <w:p>
      <w:pPr>
        <w:pStyle w:val="0"/>
        <w:spacing w:before="200" w:lineRule="auto"/>
        <w:ind w:firstLine="540"/>
        <w:jc w:val="both"/>
      </w:pPr>
      <w:r>
        <w:rPr>
          <w:sz w:val="20"/>
        </w:rPr>
        <w:t xml:space="preserve">28) услуги по продвижению сайта субъекта МСП в сети "Интернет".</w:t>
      </w:r>
    </w:p>
    <w:p>
      <w:pPr>
        <w:pStyle w:val="0"/>
        <w:spacing w:before="200" w:lineRule="auto"/>
        <w:ind w:firstLine="540"/>
        <w:jc w:val="both"/>
      </w:pPr>
      <w:r>
        <w:rPr>
          <w:sz w:val="20"/>
        </w:rPr>
        <w:t xml:space="preserve">3.4.1.5. Услуги, указанные в </w:t>
      </w:r>
      <w:hyperlink w:history="0" w:anchor="P427" w:tooltip="3.4.1.4. ЦПП должен обеспечивать предоставление субъектам МСП, гражданам, желающим вести бизнес, следующих услуг:">
        <w:r>
          <w:rPr>
            <w:sz w:val="20"/>
            <w:color w:val="0000ff"/>
          </w:rPr>
          <w:t xml:space="preserve">подпункте 3.4.1.4 пункта 3</w:t>
        </w:r>
      </w:hyperlink>
      <w:r>
        <w:rPr>
          <w:sz w:val="20"/>
        </w:rPr>
        <w:t xml:space="preserve"> настоящих Требований, предоставляются на бесплатной, частично платной и платной основе в соответствии с регламентом услуг центра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3.4.1.6. При привлечении сторонних организаций в процессе проведения отбора поставщиков услуг ЦПП запрашивает у поставщика услуги обязательство об отказе в предоставлении услуги субъекту МСП в случае, если они состоят в одной группе лиц, определенных в соответствии с Федеральным </w:t>
      </w:r>
      <w:hyperlink w:history="0" r:id="rId63" w:tooltip="Федеральный закон от 26.07.2006 N 135-ФЗ (ред. от 24.06.2025) &quot;О защите конкуренции&quot; {КонсультантПлюс}">
        <w:r>
          <w:rPr>
            <w:sz w:val="20"/>
            <w:color w:val="0000ff"/>
          </w:rPr>
          <w:t xml:space="preserve">законом</w:t>
        </w:r>
      </w:hyperlink>
      <w:r>
        <w:rPr>
          <w:sz w:val="20"/>
        </w:rPr>
        <w:t xml:space="preserve"> от 26 июля 2006 г. N 135-ФЗ "О защите конкуренции" (далее - одна группа лиц).</w:t>
      </w:r>
    </w:p>
    <w:p>
      <w:pPr>
        <w:pStyle w:val="0"/>
        <w:spacing w:before="200" w:lineRule="auto"/>
        <w:ind w:firstLine="540"/>
        <w:jc w:val="both"/>
      </w:pPr>
      <w:r>
        <w:rPr>
          <w:sz w:val="20"/>
        </w:rPr>
        <w:t xml:space="preserve">3.4.1.6.1. В случае отсутствия в субъекте Российской Федерации центра инноваций социальной сферы как юридического лица или структурного подразделения юридического лица, относящегося к инфраструктуре поддержки субъектов МСП, направленного на оказание консультационной поддержки, одним из учредителей которого является субъект Российской Федерации или муниципальное образование, для оказания информационно-аналитической, консультационной и организационной поддержки субъектам МСП, осуществляющим деятельность в сфере социального предпринимательства, в том числе признанным социальными предприятиями, а также субъектам МСП и гражданам, заинтересованным в начале осуществления деятельности в области социального предпринимательства (далее - ЦИСС), ЦПП ежегодно проводит Конкурс в субъекте Российской Федерации в соответствии с </w:t>
      </w:r>
      <w:hyperlink w:history="0" w:anchor="P543" w:tooltip="3.4.2.6. ЦИСС ежегодно проводит Конкурс в субъекте Российской Федерации среди субъектов МСП, осуществляющих деятельность в сфере социального предпринимательства, в том числе признанных социальными предприятиями, а также мастеров народных художественных промыслов и субъектов МСП, осуществляющих деятельность в сфере народных художественных промыслов, в целях популяризации их деятельности.">
        <w:r>
          <w:rPr>
            <w:sz w:val="20"/>
            <w:color w:val="0000ff"/>
          </w:rPr>
          <w:t xml:space="preserve">подпунктами 3.4.2.6</w:t>
        </w:r>
      </w:hyperlink>
      <w:r>
        <w:rPr>
          <w:sz w:val="20"/>
        </w:rPr>
        <w:t xml:space="preserve"> - </w:t>
      </w:r>
      <w:hyperlink w:history="0" w:anchor="P571" w:tooltip="3.4.2.14. Итоги регионального этапа Конкурса оформляются протоколами заседаний региональной экспертной группы, которые в течение 10 рабочих дней после дня их подписания подлежат размещению в специальном разделе ЦИСС на сайте центра &quot;Мой бизнес&quot; в сети &quot;Интернет&quot;, а также направлению в адрес дирекции Конкурса.">
        <w:r>
          <w:rPr>
            <w:sz w:val="20"/>
            <w:color w:val="0000ff"/>
          </w:rPr>
          <w:t xml:space="preserve">3.4.2.14 пункта 3</w:t>
        </w:r>
      </w:hyperlink>
      <w:r>
        <w:rPr>
          <w:sz w:val="20"/>
        </w:rPr>
        <w:t xml:space="preserve"> настоящих Требований.</w:t>
      </w:r>
    </w:p>
    <w:p>
      <w:pPr>
        <w:pStyle w:val="0"/>
        <w:spacing w:before="200" w:lineRule="auto"/>
        <w:ind w:firstLine="540"/>
        <w:jc w:val="both"/>
      </w:pPr>
      <w:r>
        <w:rPr>
          <w:sz w:val="20"/>
        </w:rPr>
        <w:t xml:space="preserve">3.4.1.7. Руководитель ЦПП должен:</w:t>
      </w:r>
    </w:p>
    <w:p>
      <w:pPr>
        <w:pStyle w:val="0"/>
        <w:spacing w:before="200" w:lineRule="auto"/>
        <w:ind w:firstLine="540"/>
        <w:jc w:val="both"/>
      </w:pPr>
      <w:r>
        <w:rPr>
          <w:sz w:val="20"/>
        </w:rPr>
        <w:t xml:space="preserve">а) иметь высшее образование и пройти повышение квалификации в области управления;</w:t>
      </w:r>
    </w:p>
    <w:p>
      <w:pPr>
        <w:pStyle w:val="0"/>
        <w:spacing w:before="200" w:lineRule="auto"/>
        <w:ind w:firstLine="540"/>
        <w:jc w:val="both"/>
      </w:pPr>
      <w:r>
        <w:rPr>
          <w:sz w:val="20"/>
        </w:rPr>
        <w:t xml:space="preserve">б) иметь опыт работы на руководящих должностях не менее 3 лет или опыт работы в сфере поддержки МСП не менее 1 года.</w:t>
      </w:r>
    </w:p>
    <w:p>
      <w:pPr>
        <w:pStyle w:val="0"/>
        <w:spacing w:before="200" w:lineRule="auto"/>
        <w:ind w:firstLine="540"/>
        <w:jc w:val="both"/>
      </w:pPr>
      <w:r>
        <w:rPr>
          <w:sz w:val="20"/>
        </w:rPr>
        <w:t xml:space="preserve">3.4.1.8. Средства субсидии направляются на оплату работ (услуг), соответствующих направлениям деятельности ЦПП, выполняемых (оказываемых) третьими лицами, в том числе привлекаемыми для организации предоставления консультаций субъектам МСП.</w:t>
      </w:r>
    </w:p>
    <w:p>
      <w:pPr>
        <w:pStyle w:val="0"/>
        <w:spacing w:before="200" w:lineRule="auto"/>
        <w:ind w:firstLine="540"/>
        <w:jc w:val="both"/>
      </w:pPr>
      <w:r>
        <w:rPr>
          <w:sz w:val="20"/>
        </w:rPr>
        <w:t xml:space="preserve">3.4.1.9. ЦПП должен обеспечивать размещение и ежемесячное обновление (актуализацию) в специальном разделе ЦПП на сайте центра "Мой бизнес" следующей информации:</w:t>
      </w:r>
    </w:p>
    <w:p>
      <w:pPr>
        <w:pStyle w:val="0"/>
        <w:spacing w:before="200" w:lineRule="auto"/>
        <w:ind w:firstLine="540"/>
        <w:jc w:val="both"/>
      </w:pPr>
      <w:r>
        <w:rPr>
          <w:sz w:val="20"/>
        </w:rPr>
        <w:t xml:space="preserve">а) общие сведения о ЦПП;</w:t>
      </w:r>
    </w:p>
    <w:p>
      <w:pPr>
        <w:pStyle w:val="0"/>
        <w:spacing w:before="200" w:lineRule="auto"/>
        <w:ind w:firstLine="540"/>
        <w:jc w:val="both"/>
      </w:pPr>
      <w:r>
        <w:rPr>
          <w:sz w:val="20"/>
        </w:rPr>
        <w:t xml:space="preserve">б) перечень предоставляемых ЦПП услуг, стоимость и порядок их предоставления, информация о возможности подачи заявлений (заявок) о предоставлении услуг в электронном виде с использованием ЦП МСП;</w:t>
      </w:r>
    </w:p>
    <w:p>
      <w:pPr>
        <w:pStyle w:val="0"/>
        <w:spacing w:before="200" w:lineRule="auto"/>
        <w:ind w:firstLine="540"/>
        <w:jc w:val="both"/>
      </w:pPr>
      <w:r>
        <w:rPr>
          <w:sz w:val="20"/>
        </w:rPr>
        <w:t xml:space="preserve">в) перечень вебинаров, круглых столов, конференций, форумов, семинаров, иных публичных мероприятий, проводимых ЦПП;</w:t>
      </w:r>
    </w:p>
    <w:p>
      <w:pPr>
        <w:pStyle w:val="0"/>
        <w:spacing w:before="200" w:lineRule="auto"/>
        <w:ind w:firstLine="540"/>
        <w:jc w:val="both"/>
      </w:pPr>
      <w:r>
        <w:rPr>
          <w:sz w:val="20"/>
        </w:rPr>
        <w:t xml:space="preserve">г) программа (стратегия, концепция) развития ЦПП на среднесрочный плановый период (не менее 3 лет) и план работы ЦПП на очередной год;</w:t>
      </w:r>
    </w:p>
    <w:p>
      <w:pPr>
        <w:pStyle w:val="0"/>
        <w:spacing w:before="200" w:lineRule="auto"/>
        <w:ind w:firstLine="540"/>
        <w:jc w:val="both"/>
      </w:pPr>
      <w:r>
        <w:rPr>
          <w:sz w:val="20"/>
        </w:rPr>
        <w:t xml:space="preserve">д) годовые отчеты о проведенных мероприятиях в рамках деятельности ЦПП;</w:t>
      </w:r>
    </w:p>
    <w:p>
      <w:pPr>
        <w:pStyle w:val="0"/>
        <w:spacing w:before="200" w:lineRule="auto"/>
        <w:ind w:firstLine="540"/>
        <w:jc w:val="both"/>
      </w:pPr>
      <w:r>
        <w:rPr>
          <w:sz w:val="20"/>
        </w:rPr>
        <w:t xml:space="preserve">е) сведения об обращениях субъектов МСП в ЦПП;</w:t>
      </w:r>
    </w:p>
    <w:p>
      <w:pPr>
        <w:pStyle w:val="0"/>
        <w:spacing w:before="200" w:lineRule="auto"/>
        <w:ind w:firstLine="540"/>
        <w:jc w:val="both"/>
      </w:pPr>
      <w:r>
        <w:rPr>
          <w:sz w:val="20"/>
        </w:rPr>
        <w:t xml:space="preserve">ж) интернет-ссылки на иные информационные ресурсы, предназначенные для поддержки и развития МСП;</w:t>
      </w:r>
    </w:p>
    <w:p>
      <w:pPr>
        <w:pStyle w:val="0"/>
        <w:spacing w:before="200" w:lineRule="auto"/>
        <w:ind w:firstLine="540"/>
        <w:jc w:val="both"/>
      </w:pPr>
      <w:r>
        <w:rPr>
          <w:sz w:val="20"/>
        </w:rPr>
        <w:t xml:space="preserve">з) план межрегиональных бизнес-миссий в другие субъекты Российской Федерации на очередной год.</w:t>
      </w:r>
    </w:p>
    <w:bookmarkStart w:id="472" w:name="P472"/>
    <w:bookmarkEnd w:id="472"/>
    <w:p>
      <w:pPr>
        <w:pStyle w:val="0"/>
        <w:spacing w:before="200" w:lineRule="auto"/>
        <w:ind w:firstLine="540"/>
        <w:jc w:val="both"/>
      </w:pPr>
      <w:r>
        <w:rPr>
          <w:sz w:val="20"/>
        </w:rPr>
        <w:t xml:space="preserve">3.4.1.10. ЦПП обязан проводить сертификацию качества услуг, предоставляемых в центре "Мой бизнес", и применения в деятельности ЦПП современных управленческих технологий, основанных на требованиях международного стандарта качества.</w:t>
      </w:r>
    </w:p>
    <w:bookmarkStart w:id="473" w:name="P473"/>
    <w:bookmarkEnd w:id="473"/>
    <w:p>
      <w:pPr>
        <w:pStyle w:val="0"/>
        <w:spacing w:before="200" w:lineRule="auto"/>
        <w:ind w:firstLine="540"/>
        <w:jc w:val="both"/>
      </w:pPr>
      <w:r>
        <w:rPr>
          <w:sz w:val="20"/>
        </w:rPr>
        <w:t xml:space="preserve">3.4.1.11.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w:t>
      </w:r>
      <w:hyperlink w:history="0" w:anchor="P472" w:tooltip="3.4.1.10. ЦПП обязан проводить сертификацию качества услуг, предоставляемых в центре &quot;Мой бизнес&quot;, и применения в деятельности ЦПП современных управленческих технологий, основанных на требованиях международного стандарта качества.">
        <w:r>
          <w:rPr>
            <w:sz w:val="20"/>
            <w:color w:val="0000ff"/>
          </w:rPr>
          <w:t xml:space="preserve">подпункте 3.4.1.10 пункта 3</w:t>
        </w:r>
      </w:hyperlink>
      <w:r>
        <w:rPr>
          <w:sz w:val="20"/>
        </w:rPr>
        <w:t xml:space="preserve"> настоящих Требований.</w:t>
      </w:r>
    </w:p>
    <w:p>
      <w:pPr>
        <w:pStyle w:val="0"/>
        <w:spacing w:before="200" w:lineRule="auto"/>
        <w:ind w:firstLine="540"/>
        <w:jc w:val="both"/>
      </w:pPr>
      <w:r>
        <w:rPr>
          <w:sz w:val="20"/>
        </w:rPr>
        <w:t xml:space="preserve">3.4.2.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0"/>
            <w:color w:val="0000ff"/>
          </w:rPr>
          <w:t xml:space="preserve">подпункте 3.1 пункта 3</w:t>
        </w:r>
      </w:hyperlink>
      <w:r>
        <w:rPr>
          <w:sz w:val="20"/>
        </w:rPr>
        <w:t xml:space="preserve"> настоящих Требований, может быть предоставлена субсидия на создание и (или) развитие ЦИСС.</w:t>
      </w:r>
    </w:p>
    <w:p>
      <w:pPr>
        <w:pStyle w:val="0"/>
        <w:spacing w:before="200" w:lineRule="auto"/>
        <w:ind w:firstLine="540"/>
        <w:jc w:val="both"/>
      </w:pPr>
      <w:r>
        <w:rPr>
          <w:sz w:val="20"/>
        </w:rPr>
        <w:t xml:space="preserve">3.4.2.1. Требованиями к предоставлению субсидии на создание и (или) развитие ЦИСС являются:</w:t>
      </w:r>
    </w:p>
    <w:p>
      <w:pPr>
        <w:pStyle w:val="0"/>
        <w:spacing w:before="200" w:lineRule="auto"/>
        <w:ind w:firstLine="540"/>
        <w:jc w:val="both"/>
      </w:pPr>
      <w:r>
        <w:rPr>
          <w:sz w:val="20"/>
        </w:rPr>
        <w:t xml:space="preserve">а) наличие на территории субъекта Российской Федерации ЦИСС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ЦИСС в соответствии с требованиями, установленными </w:t>
      </w:r>
      <w:hyperlink w:history="0" w:anchor="P482" w:tooltip="3.4.2.2. ЦИСС должен соответствовать следующим требованиям:">
        <w:r>
          <w:rPr>
            <w:sz w:val="20"/>
            <w:color w:val="0000ff"/>
          </w:rPr>
          <w:t xml:space="preserve">подпунктами 3.4.2.2</w:t>
        </w:r>
      </w:hyperlink>
      <w:r>
        <w:rPr>
          <w:sz w:val="20"/>
        </w:rPr>
        <w:t xml:space="preserve"> - </w:t>
      </w:r>
      <w:hyperlink w:history="0" w:anchor="P576" w:tooltip="3.4.2.16. ЦИСС на постоянной основе должен размещать и обеспечивать обновление (актуализацию) (не реже 2 раз в месяц) в специальном разделе ЦИСС на сайте центра &quot;Мой бизнес&quot; следующей информации:">
        <w:r>
          <w:rPr>
            <w:sz w:val="20"/>
            <w:color w:val="0000ff"/>
          </w:rPr>
          <w:t xml:space="preserve">3.4.2.16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ЦИСС на год, в котором предоставляется субсидия, и плановый период (не менее 3 лет) с указанием целей и задач, предпосылок создания, специализации, направлений деятельности, системы управления, перечня и объема предоставляемых услуг и их стоимости, а также обоснования спроса на услуги ЦИСС со стороны субъектов МСП;</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д) наличие ключевых показателей эффективности деятельности ЦИСС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е) наличие обязательства субъекта Российской Федерации обеспечить функционирование ЦИСС в течение не менее 10 лет со дня его создания за счет средств субсидии.</w:t>
      </w:r>
    </w:p>
    <w:bookmarkStart w:id="482" w:name="P482"/>
    <w:bookmarkEnd w:id="482"/>
    <w:p>
      <w:pPr>
        <w:pStyle w:val="0"/>
        <w:spacing w:before="200" w:lineRule="auto"/>
        <w:ind w:firstLine="540"/>
        <w:jc w:val="both"/>
      </w:pPr>
      <w:r>
        <w:rPr>
          <w:sz w:val="20"/>
        </w:rPr>
        <w:t xml:space="preserve">3.4.2.2. ЦИСС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ведение раздельного бухгалтерского учета по денежным средствам, предоставленным ЦИСС за счет средств бюджетов всех уровней и внебюджетных источников;</w:t>
      </w:r>
    </w:p>
    <w:p>
      <w:pPr>
        <w:pStyle w:val="0"/>
        <w:spacing w:before="200" w:lineRule="auto"/>
        <w:ind w:firstLine="540"/>
        <w:jc w:val="both"/>
      </w:pPr>
      <w:r>
        <w:rPr>
          <w:sz w:val="20"/>
        </w:rPr>
        <w:t xml:space="preserve">г) разрабатывать концепцию создания (развития) ЦИСС на среднесрочный плановый период (не менее 3 лет) и план деятельности ЦИСС на очередной год;</w:t>
      </w:r>
    </w:p>
    <w:p>
      <w:pPr>
        <w:pStyle w:val="0"/>
        <w:spacing w:before="200" w:lineRule="auto"/>
        <w:ind w:firstLine="540"/>
        <w:jc w:val="both"/>
      </w:pPr>
      <w:r>
        <w:rPr>
          <w:sz w:val="20"/>
        </w:rPr>
        <w:t xml:space="preserve">д) привлекать в целях осуществления деятельности специализированные организации и квалифицированных специалистов;</w:t>
      </w:r>
    </w:p>
    <w:p>
      <w:pPr>
        <w:pStyle w:val="0"/>
        <w:spacing w:before="200" w:lineRule="auto"/>
        <w:ind w:firstLine="540"/>
        <w:jc w:val="both"/>
      </w:pPr>
      <w:r>
        <w:rPr>
          <w:sz w:val="20"/>
        </w:rPr>
        <w:t xml:space="preserve">е) обеспечивать наличие не менее 1 рабочего места для специалистов ЦИСС,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00" w:lineRule="auto"/>
        <w:ind w:firstLine="540"/>
        <w:jc w:val="both"/>
      </w:pPr>
      <w:r>
        <w:rPr>
          <w:sz w:val="20"/>
        </w:rPr>
        <w:t xml:space="preserve">ж) обеспечивать наличие специального раздела ЦИСС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ЦИСС;</w:t>
      </w:r>
    </w:p>
    <w:p>
      <w:pPr>
        <w:pStyle w:val="0"/>
        <w:spacing w:before="200" w:lineRule="auto"/>
        <w:ind w:firstLine="540"/>
        <w:jc w:val="both"/>
      </w:pPr>
      <w:r>
        <w:rPr>
          <w:sz w:val="20"/>
        </w:rPr>
        <w:t xml:space="preserve">формирование заявления (заявки) о предоставлении услуги ЦИСС в форме электронного документа;</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ЦИСС в электронном виде с использованием ЦП МСП;</w:t>
      </w:r>
    </w:p>
    <w:p>
      <w:pPr>
        <w:pStyle w:val="0"/>
        <w:spacing w:before="200" w:lineRule="auto"/>
        <w:ind w:firstLine="540"/>
        <w:jc w:val="both"/>
      </w:pPr>
      <w:r>
        <w:rPr>
          <w:sz w:val="20"/>
        </w:rPr>
        <w:t xml:space="preserve">з) быть зарегистрированным на ЦП МСП в качестве организации, образующей инфраструктуру поддержки субъектов МСП;</w:t>
      </w:r>
    </w:p>
    <w:p>
      <w:pPr>
        <w:pStyle w:val="0"/>
        <w:spacing w:before="200" w:lineRule="auto"/>
        <w:ind w:firstLine="540"/>
        <w:jc w:val="both"/>
      </w:pPr>
      <w:r>
        <w:rPr>
          <w:sz w:val="20"/>
        </w:rPr>
        <w:t xml:space="preserve">и) обеспечивать внесение и актуализацию общих сведений о ЦИСС на ЦП МСП;</w:t>
      </w:r>
    </w:p>
    <w:p>
      <w:pPr>
        <w:pStyle w:val="0"/>
        <w:spacing w:before="200" w:lineRule="auto"/>
        <w:ind w:firstLine="540"/>
        <w:jc w:val="both"/>
      </w:pPr>
      <w:r>
        <w:rPr>
          <w:sz w:val="20"/>
        </w:rPr>
        <w:t xml:space="preserve">к) обеспечивать публикацию на ЦП МСП сведений об услугах (мерах поддержки), в том числе стандартизированных, оказываемых ЦИСС, на ЦП МСП;</w:t>
      </w:r>
    </w:p>
    <w:p>
      <w:pPr>
        <w:pStyle w:val="0"/>
        <w:spacing w:before="200" w:lineRule="auto"/>
        <w:ind w:firstLine="540"/>
        <w:jc w:val="both"/>
      </w:pPr>
      <w:r>
        <w:rPr>
          <w:sz w:val="20"/>
        </w:rPr>
        <w:t xml:space="preserve">л) обеспечивать оказание услуг и мер поддержки в соответствии с функционалом ЦП МСП в случае подачи заявления (заявки) о предоставлении услуги ЦИСС с использованием ЦП МСП;</w:t>
      </w:r>
    </w:p>
    <w:p>
      <w:pPr>
        <w:pStyle w:val="0"/>
        <w:spacing w:before="200" w:lineRule="auto"/>
        <w:ind w:firstLine="540"/>
        <w:jc w:val="both"/>
      </w:pPr>
      <w:r>
        <w:rPr>
          <w:sz w:val="20"/>
        </w:rPr>
        <w:t xml:space="preserve">м) обеспечивать внесение и актуализацию сведений об оказанных ЦИСС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н)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ЦИСС в многофункциональных центрах для бизнеса;</w:t>
      </w:r>
    </w:p>
    <w:p>
      <w:pPr>
        <w:pStyle w:val="0"/>
        <w:spacing w:before="200" w:lineRule="auto"/>
        <w:ind w:firstLine="540"/>
        <w:jc w:val="both"/>
      </w:pPr>
      <w:r>
        <w:rPr>
          <w:sz w:val="20"/>
        </w:rPr>
        <w:t xml:space="preserve">о)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ЦИСС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и их актуализация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п) обеспечить функционирование ЦИСС в течение не менее 10 лет со дня его создания за счет субсидии.</w:t>
      </w:r>
    </w:p>
    <w:p>
      <w:pPr>
        <w:pStyle w:val="0"/>
        <w:spacing w:before="200" w:lineRule="auto"/>
        <w:ind w:firstLine="540"/>
        <w:jc w:val="both"/>
      </w:pPr>
      <w:r>
        <w:rPr>
          <w:sz w:val="20"/>
        </w:rPr>
        <w:t xml:space="preserve">3.4.2.3. ЦИСС в рамках своей деятельности должен обеспечивать:</w:t>
      </w:r>
    </w:p>
    <w:p>
      <w:pPr>
        <w:pStyle w:val="0"/>
        <w:spacing w:before="200" w:lineRule="auto"/>
        <w:ind w:firstLine="540"/>
        <w:jc w:val="both"/>
      </w:pPr>
      <w:r>
        <w:rPr>
          <w:sz w:val="20"/>
        </w:rPr>
        <w:t xml:space="preserve">а) осуществление продвижения информации о социальном предпринимательстве и об услугах ЦИСС,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б) участие в определении приоритетных направлений развития социального предпринимательства на уровне субъекта Российской Федерации;</w:t>
      </w:r>
    </w:p>
    <w:p>
      <w:pPr>
        <w:pStyle w:val="0"/>
        <w:spacing w:before="200" w:lineRule="auto"/>
        <w:ind w:firstLine="540"/>
        <w:jc w:val="both"/>
      </w:pPr>
      <w:r>
        <w:rPr>
          <w:sz w:val="20"/>
        </w:rPr>
        <w:t xml:space="preserve">в) предоставление субъектам МСП, а также гражданам, заинтересованным в начале осуществления деятельности в области социального предпринимательства, услуг и консультаций, указанных в </w:t>
      </w:r>
      <w:hyperlink w:history="0" w:anchor="P514" w:tooltip="3.4.2.4. ЦИСС должен обеспечивать предоставление следующих услуг:">
        <w:r>
          <w:rPr>
            <w:sz w:val="20"/>
            <w:color w:val="0000ff"/>
          </w:rPr>
          <w:t xml:space="preserve">подпункте 3.4.2.4 пункта 3</w:t>
        </w:r>
      </w:hyperlink>
      <w:r>
        <w:rPr>
          <w:sz w:val="20"/>
        </w:rPr>
        <w:t xml:space="preserve"> настоящих Требований, в том числе посредством привлечения на договорной основе специализированных организаций, квалифицированных специалистов, а также организации взаимодействия с помощниками (менторами, наставниками) из числа успешных предпринимателей и лидеров социальных проектов;</w:t>
      </w:r>
    </w:p>
    <w:p>
      <w:pPr>
        <w:pStyle w:val="0"/>
        <w:spacing w:before="200" w:lineRule="auto"/>
        <w:ind w:firstLine="540"/>
        <w:jc w:val="both"/>
      </w:pPr>
      <w:r>
        <w:rPr>
          <w:sz w:val="20"/>
        </w:rPr>
        <w:t xml:space="preserve">г) ведение учета обращений в ЦИСС;</w:t>
      </w:r>
    </w:p>
    <w:p>
      <w:pPr>
        <w:pStyle w:val="0"/>
        <w:spacing w:before="200" w:lineRule="auto"/>
        <w:ind w:firstLine="540"/>
        <w:jc w:val="both"/>
      </w:pPr>
      <w:r>
        <w:rPr>
          <w:sz w:val="20"/>
        </w:rPr>
        <w:t xml:space="preserve">д) проведение обучающих и просветительских мероприятий для субъектов МСП, а также граждан, заинтересованных в начале осуществления деятельности в области социального предпринимательства,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pPr>
        <w:pStyle w:val="0"/>
        <w:spacing w:before="200" w:lineRule="auto"/>
        <w:ind w:firstLine="540"/>
        <w:jc w:val="both"/>
      </w:pPr>
      <w:r>
        <w:rPr>
          <w:sz w:val="20"/>
        </w:rPr>
        <w:t xml:space="preserve">е) организацию обучения и повышения квалификации сотрудников ЦИСС;</w:t>
      </w:r>
    </w:p>
    <w:p>
      <w:pPr>
        <w:pStyle w:val="0"/>
        <w:spacing w:before="200" w:lineRule="auto"/>
        <w:ind w:firstLine="540"/>
        <w:jc w:val="both"/>
      </w:pPr>
      <w:r>
        <w:rPr>
          <w:sz w:val="20"/>
        </w:rPr>
        <w:t xml:space="preserve">ж) сбор, обобщение и распространение информации о социальных проектах и инвестиционных потребностях субъектов МСП, осуществляющих деятельность в области социального предпринимательства;</w:t>
      </w:r>
    </w:p>
    <w:p>
      <w:pPr>
        <w:pStyle w:val="0"/>
        <w:spacing w:before="200" w:lineRule="auto"/>
        <w:ind w:firstLine="540"/>
        <w:jc w:val="both"/>
      </w:pPr>
      <w:r>
        <w:rPr>
          <w:sz w:val="20"/>
        </w:rPr>
        <w:t xml:space="preserve">з) функционирование специального раздела ЦИСС на сайте центра "Мой бизнес", ведение учетных записей (аккаунтов) в сети "Интернет", направленных на информирование субъектов МСП об оказываемых ЦИСС услугах и видах поддержки;</w:t>
      </w:r>
    </w:p>
    <w:p>
      <w:pPr>
        <w:pStyle w:val="0"/>
        <w:spacing w:before="200" w:lineRule="auto"/>
        <w:ind w:firstLine="540"/>
        <w:jc w:val="both"/>
      </w:pPr>
      <w:r>
        <w:rPr>
          <w:sz w:val="20"/>
        </w:rPr>
        <w:t xml:space="preserve">и) мониторинг деятельности субъектов МСП, которым предоставлены услуги ЦИСС;</w:t>
      </w:r>
    </w:p>
    <w:p>
      <w:pPr>
        <w:pStyle w:val="0"/>
        <w:spacing w:before="200" w:lineRule="auto"/>
        <w:ind w:firstLine="540"/>
        <w:jc w:val="both"/>
      </w:pPr>
      <w:r>
        <w:rPr>
          <w:sz w:val="20"/>
        </w:rPr>
        <w:t xml:space="preserve">к)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начать бизнес, проводимых ЦИСС,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514" w:name="P514"/>
    <w:bookmarkEnd w:id="514"/>
    <w:p>
      <w:pPr>
        <w:pStyle w:val="0"/>
        <w:spacing w:before="200" w:lineRule="auto"/>
        <w:ind w:firstLine="540"/>
        <w:jc w:val="both"/>
      </w:pPr>
      <w:r>
        <w:rPr>
          <w:sz w:val="20"/>
        </w:rPr>
        <w:t xml:space="preserve">3.4.2.4. ЦИСС должен обеспечивать предоставление следующих услуг:</w:t>
      </w:r>
    </w:p>
    <w:p>
      <w:pPr>
        <w:pStyle w:val="0"/>
        <w:spacing w:before="200" w:lineRule="auto"/>
        <w:ind w:firstLine="540"/>
        <w:jc w:val="both"/>
      </w:pPr>
      <w:r>
        <w:rPr>
          <w:sz w:val="20"/>
        </w:rPr>
        <w:t xml:space="preserve">1) услуга скоринга;</w:t>
      </w:r>
    </w:p>
    <w:p>
      <w:pPr>
        <w:pStyle w:val="0"/>
        <w:spacing w:before="200" w:lineRule="auto"/>
        <w:ind w:firstLine="540"/>
        <w:jc w:val="both"/>
      </w:pPr>
      <w:r>
        <w:rPr>
          <w:sz w:val="20"/>
        </w:rPr>
        <w:t xml:space="preserve">2) консультирование об услугах ЦИСС;</w:t>
      </w:r>
    </w:p>
    <w:p>
      <w:pPr>
        <w:pStyle w:val="0"/>
        <w:spacing w:before="200" w:lineRule="auto"/>
        <w:ind w:firstLine="540"/>
        <w:jc w:val="both"/>
      </w:pPr>
      <w:r>
        <w:rPr>
          <w:sz w:val="20"/>
        </w:rPr>
        <w:t xml:space="preserve">3) консультационные услуги по вопросам начала ведения собственного дела в социальной сфере для граждан, заинтересованных в начале осуществления деятельности в области социального предпринимательства, а также по вопросам признания субъектов МСП социальными предприятиями;</w:t>
      </w:r>
    </w:p>
    <w:p>
      <w:pPr>
        <w:pStyle w:val="0"/>
        <w:spacing w:before="200" w:lineRule="auto"/>
        <w:ind w:firstLine="540"/>
        <w:jc w:val="both"/>
      </w:pPr>
      <w:r>
        <w:rPr>
          <w:sz w:val="20"/>
        </w:rPr>
        <w:t xml:space="preserve">4) консультационные услуги по вопросам, связанным с созданием маркетинговой стратегии реализации проектов субъектов социального предпринимательства;</w:t>
      </w:r>
    </w:p>
    <w:p>
      <w:pPr>
        <w:pStyle w:val="0"/>
        <w:spacing w:before="200" w:lineRule="auto"/>
        <w:ind w:firstLine="540"/>
        <w:jc w:val="both"/>
      </w:pPr>
      <w:r>
        <w:rPr>
          <w:sz w:val="20"/>
        </w:rPr>
        <w:t xml:space="preserve">5) консультационные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договоров, определение цены лицензионного договора);</w:t>
      </w:r>
    </w:p>
    <w:p>
      <w:pPr>
        <w:pStyle w:val="0"/>
        <w:spacing w:before="200" w:lineRule="auto"/>
        <w:ind w:firstLine="540"/>
        <w:jc w:val="both"/>
      </w:pPr>
      <w:r>
        <w:rPr>
          <w:sz w:val="20"/>
        </w:rPr>
        <w:t xml:space="preserve">6) консультационные услуги, связанные с осуществлением на льготных условиях деятельности субъектов МСП, осуществляющих деятельность 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МСП, осуществляющими деятельность в сфере социального предпринимательства;</w:t>
      </w:r>
    </w:p>
    <w:p>
      <w:pPr>
        <w:pStyle w:val="0"/>
        <w:spacing w:before="200" w:lineRule="auto"/>
        <w:ind w:firstLine="540"/>
        <w:jc w:val="both"/>
      </w:pPr>
      <w:r>
        <w:rPr>
          <w:sz w:val="20"/>
        </w:rPr>
        <w:t xml:space="preserve">7) 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 участия в закупках организаций с государственным участием, защиты прав 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p>
    <w:p>
      <w:pPr>
        <w:pStyle w:val="0"/>
        <w:spacing w:before="200" w:lineRule="auto"/>
        <w:ind w:firstLine="540"/>
        <w:jc w:val="both"/>
      </w:pPr>
      <w:r>
        <w:rPr>
          <w:sz w:val="20"/>
        </w:rPr>
        <w:t xml:space="preserve">8) иные консультационные услуги в целях содействия развитию деятельности субъектов МСП, осуществляющих деятельность в сфере социального предпринимательства;</w:t>
      </w:r>
    </w:p>
    <w:p>
      <w:pPr>
        <w:pStyle w:val="0"/>
        <w:spacing w:before="200" w:lineRule="auto"/>
        <w:ind w:firstLine="540"/>
        <w:jc w:val="both"/>
      </w:pPr>
      <w:r>
        <w:rPr>
          <w:sz w:val="20"/>
        </w:rPr>
        <w:t xml:space="preserve">9) 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pPr>
        <w:pStyle w:val="0"/>
        <w:spacing w:before="200" w:lineRule="auto"/>
        <w:ind w:firstLine="540"/>
        <w:jc w:val="both"/>
      </w:pPr>
      <w:r>
        <w:rPr>
          <w:sz w:val="20"/>
        </w:rPr>
        <w:t xml:space="preserve">10) проведение обучающих мероприятий по повышению квалификации сотрудников субъектов МСП, осуществляющих деятельность в сфере социального предпринимательства;</w:t>
      </w:r>
    </w:p>
    <w:p>
      <w:pPr>
        <w:pStyle w:val="0"/>
        <w:spacing w:before="200" w:lineRule="auto"/>
        <w:ind w:firstLine="540"/>
        <w:jc w:val="both"/>
      </w:pPr>
      <w:r>
        <w:rPr>
          <w:sz w:val="20"/>
        </w:rPr>
        <w:t xml:space="preserve">11) проведение для субъектов МСП и граждан, заинтересованных в начале осуществления деятельности в области социального предпринимательства, круглых столов по социальной тематике;</w:t>
      </w:r>
    </w:p>
    <w:p>
      <w:pPr>
        <w:pStyle w:val="0"/>
        <w:spacing w:before="200" w:lineRule="auto"/>
        <w:ind w:firstLine="540"/>
        <w:jc w:val="both"/>
      </w:pPr>
      <w:r>
        <w:rPr>
          <w:sz w:val="20"/>
        </w:rPr>
        <w:t xml:space="preserve">12) услуги по вопросам бизнес-планирования, в частности по вопросам оценки социальной эффективности проекта или инициативы субъектов МСП, осуществляющих деятельность в сфере социального предпринимательства, оказания содействия при выборе проекта, разработки бизнес-модели и финансовой модели, содействия в привлечении профессиональных кадров и потенциальных инвесторов;</w:t>
      </w:r>
    </w:p>
    <w:p>
      <w:pPr>
        <w:pStyle w:val="0"/>
        <w:spacing w:before="200" w:lineRule="auto"/>
        <w:ind w:firstLine="540"/>
        <w:jc w:val="both"/>
      </w:pPr>
      <w:r>
        <w:rPr>
          <w:sz w:val="20"/>
        </w:rPr>
        <w:t xml:space="preserve">13) услуги по вопросам, связанным с подготовкой заявок (иной документации) для получения государственной поддержки субъектами МСП, осуществляющими деятельность в сфере социального предпринимательства;</w:t>
      </w:r>
    </w:p>
    <w:p>
      <w:pPr>
        <w:pStyle w:val="0"/>
        <w:spacing w:before="200" w:lineRule="auto"/>
        <w:ind w:firstLine="540"/>
        <w:jc w:val="both"/>
      </w:pPr>
      <w:r>
        <w:rPr>
          <w:sz w:val="20"/>
        </w:rPr>
        <w:t xml:space="preserve">14) отбор лучших социальных практик и их представление в рамках проводимых открытых мероприятий;</w:t>
      </w:r>
    </w:p>
    <w:p>
      <w:pPr>
        <w:pStyle w:val="0"/>
        <w:spacing w:before="200" w:lineRule="auto"/>
        <w:ind w:firstLine="540"/>
        <w:jc w:val="both"/>
      </w:pPr>
      <w:r>
        <w:rPr>
          <w:sz w:val="20"/>
        </w:rPr>
        <w:t xml:space="preserve">15) услуги по размещению субъектов МСП на электронных торговых площадках, в том числе по оказанию содействия в регистрации учетной записи (аккаунта) субъекта МСП на торговых площадках, а также ежемесячном продвижении продукции субъекта МСП на торговой площадке;</w:t>
      </w:r>
    </w:p>
    <w:p>
      <w:pPr>
        <w:pStyle w:val="0"/>
        <w:spacing w:before="200" w:lineRule="auto"/>
        <w:ind w:firstLine="540"/>
        <w:jc w:val="both"/>
      </w:pPr>
      <w:r>
        <w:rPr>
          <w:sz w:val="20"/>
        </w:rPr>
        <w:t xml:space="preserve">16) услуги, связанные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p>
    <w:p>
      <w:pPr>
        <w:pStyle w:val="0"/>
        <w:spacing w:before="200" w:lineRule="auto"/>
        <w:ind w:firstLine="540"/>
        <w:jc w:val="both"/>
      </w:pPr>
      <w:r>
        <w:rPr>
          <w:sz w:val="20"/>
        </w:rPr>
        <w:t xml:space="preserve">17) проведение акселерационных программ для социальных предприятий, а также субъектов МСП и граждан, заинтересованных в начале осуществления деятельности в сфере социального предпринимательства;</w:t>
      </w:r>
    </w:p>
    <w:p>
      <w:pPr>
        <w:pStyle w:val="0"/>
        <w:spacing w:before="200" w:lineRule="auto"/>
        <w:ind w:firstLine="540"/>
        <w:jc w:val="both"/>
      </w:pPr>
      <w:r>
        <w:rPr>
          <w:sz w:val="20"/>
        </w:rPr>
        <w:t xml:space="preserve">18) услуги по содействию в разработке франшиз социальных предприятий;</w:t>
      </w:r>
    </w:p>
    <w:p>
      <w:pPr>
        <w:pStyle w:val="0"/>
        <w:spacing w:before="200" w:lineRule="auto"/>
        <w:ind w:firstLine="540"/>
        <w:jc w:val="both"/>
      </w:pPr>
      <w:r>
        <w:rPr>
          <w:sz w:val="20"/>
        </w:rPr>
        <w:t xml:space="preserve">19) услуги по разработке и продвижению товарного знака субъекта МСП, а также изготовлению информационных материалов и (или) сайта для социальных предприятий в целях продвижения их товаров (работ, услуг), разработке рекламной кампании, дизайна, популяризации продукции (товаров, работ, услуг) для социальных предприятий;</w:t>
      </w:r>
    </w:p>
    <w:p>
      <w:pPr>
        <w:pStyle w:val="0"/>
        <w:spacing w:before="200" w:lineRule="auto"/>
        <w:ind w:firstLine="540"/>
        <w:jc w:val="both"/>
      </w:pPr>
      <w:r>
        <w:rPr>
          <w:sz w:val="20"/>
        </w:rPr>
        <w:t xml:space="preserve">20) обеспечение участия социальных предприятий в выставочно-ярмарочных и конгрессных мероприятиях, а также в бизнес-миссиях с социальной тематикой на территории Российской Федерации с целью продвижения их товаров (работ, услуг);</w:t>
      </w:r>
    </w:p>
    <w:p>
      <w:pPr>
        <w:pStyle w:val="0"/>
        <w:spacing w:before="200" w:lineRule="auto"/>
        <w:ind w:firstLine="540"/>
        <w:jc w:val="both"/>
      </w:pPr>
      <w:r>
        <w:rPr>
          <w:sz w:val="20"/>
        </w:rPr>
        <w:t xml:space="preserve">21) содействие в государственной регистрации товарного знака (знака обслуживания) социального предприятия;</w:t>
      </w:r>
    </w:p>
    <w:p>
      <w:pPr>
        <w:pStyle w:val="0"/>
        <w:spacing w:before="200" w:lineRule="auto"/>
        <w:ind w:firstLine="540"/>
        <w:jc w:val="both"/>
      </w:pPr>
      <w:r>
        <w:rPr>
          <w:sz w:val="20"/>
        </w:rPr>
        <w:t xml:space="preserve">22) услуги по проведению маркетинговых исследований для социальных предприятий;</w:t>
      </w:r>
    </w:p>
    <w:p>
      <w:pPr>
        <w:pStyle w:val="0"/>
        <w:spacing w:before="200" w:lineRule="auto"/>
        <w:ind w:firstLine="540"/>
        <w:jc w:val="both"/>
      </w:pPr>
      <w:r>
        <w:rPr>
          <w:sz w:val="20"/>
        </w:rPr>
        <w:t xml:space="preserve">23) услуги по продвижению сайта социальных предприятий в сети "Интернет";</w:t>
      </w:r>
    </w:p>
    <w:p>
      <w:pPr>
        <w:pStyle w:val="0"/>
        <w:spacing w:before="200" w:lineRule="auto"/>
        <w:ind w:firstLine="540"/>
        <w:jc w:val="both"/>
      </w:pPr>
      <w:r>
        <w:rPr>
          <w:sz w:val="20"/>
        </w:rPr>
        <w:t xml:space="preserve">24) услуги по содействию в публикации и (или) размещению вакансий на электронном сервисе (интернет-ресурсе) по поиску сотрудников, содействие в предоставлении услуг, связанных с подбором кандидатов на вакантные должности социальных предприятий;</w:t>
      </w:r>
    </w:p>
    <w:p>
      <w:pPr>
        <w:pStyle w:val="0"/>
        <w:spacing w:before="200" w:lineRule="auto"/>
        <w:ind w:firstLine="540"/>
        <w:jc w:val="both"/>
      </w:pPr>
      <w:r>
        <w:rPr>
          <w:sz w:val="20"/>
        </w:rPr>
        <w:t xml:space="preserve">25)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МСП, осуществляющих деятельность в области социального предпринимательства;</w:t>
      </w:r>
    </w:p>
    <w:p>
      <w:pPr>
        <w:pStyle w:val="0"/>
        <w:spacing w:before="200" w:lineRule="auto"/>
        <w:ind w:firstLine="540"/>
        <w:jc w:val="both"/>
      </w:pPr>
      <w:r>
        <w:rPr>
          <w:sz w:val="20"/>
        </w:rPr>
        <w:t xml:space="preserve">26) обеспечение организации и проведения региональных этапов всероссийских конкурсов в области социального предпринимательства, в том числе Конкурса на ежегодной основе.</w:t>
      </w:r>
    </w:p>
    <w:p>
      <w:pPr>
        <w:pStyle w:val="0"/>
        <w:spacing w:before="200" w:lineRule="auto"/>
        <w:ind w:firstLine="540"/>
        <w:jc w:val="both"/>
      </w:pPr>
      <w:r>
        <w:rPr>
          <w:sz w:val="20"/>
        </w:rPr>
        <w:t xml:space="preserve">3.4.2.5. Услуги ЦИСС, указанные в </w:t>
      </w:r>
      <w:hyperlink w:history="0" w:anchor="P514" w:tooltip="3.4.2.4. ЦИСС должен обеспечивать предоставление следующих услуг:">
        <w:r>
          <w:rPr>
            <w:sz w:val="20"/>
            <w:color w:val="0000ff"/>
          </w:rPr>
          <w:t xml:space="preserve">подпункте 3.4.2.4 пункта 3</w:t>
        </w:r>
      </w:hyperlink>
      <w:r>
        <w:rPr>
          <w:sz w:val="20"/>
        </w:rPr>
        <w:t xml:space="preserve"> настоящих Требований, предоставляются на бесплатной, частично платной или платной основе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При привлечении сторонних организаций в процессе проведения отбора поставщиков услуг ЦИСС запрашивает у поставщика услуги обязательство об отказе в предоставлении услуги ЦИСС субъекту МСП в случае, если они состоят в одной группе лиц.</w:t>
      </w:r>
    </w:p>
    <w:bookmarkStart w:id="543" w:name="P543"/>
    <w:bookmarkEnd w:id="543"/>
    <w:p>
      <w:pPr>
        <w:pStyle w:val="0"/>
        <w:spacing w:before="200" w:lineRule="auto"/>
        <w:ind w:firstLine="540"/>
        <w:jc w:val="both"/>
      </w:pPr>
      <w:r>
        <w:rPr>
          <w:sz w:val="20"/>
        </w:rPr>
        <w:t xml:space="preserve">3.4.2.6. ЦИСС ежегодно проводит Конкурс в субъекте Российской Федерации среди субъектов МСП, осуществляющих деятельность в сфере социального предпринимательства, в том числе признанных социальными предприятиями, а также мастеров народных художественных промыслов и субъектов МСП, осуществляющих деятельность в сфере народных художественных промыслов, в целях популяризации их деятельности.</w:t>
      </w:r>
    </w:p>
    <w:p>
      <w:pPr>
        <w:pStyle w:val="0"/>
        <w:spacing w:before="200" w:lineRule="auto"/>
        <w:ind w:firstLine="540"/>
        <w:jc w:val="both"/>
      </w:pPr>
      <w:r>
        <w:rPr>
          <w:sz w:val="20"/>
        </w:rPr>
        <w:t xml:space="preserve">Принимать участие в Конкурсе также могут социально ориентированные некоммерческие организации, осуществляющие приносящую доход деятельность.</w:t>
      </w:r>
    </w:p>
    <w:p>
      <w:pPr>
        <w:pStyle w:val="0"/>
        <w:spacing w:before="200" w:lineRule="auto"/>
        <w:ind w:firstLine="540"/>
        <w:jc w:val="both"/>
      </w:pPr>
      <w:r>
        <w:rPr>
          <w:sz w:val="20"/>
        </w:rPr>
        <w:t xml:space="preserve">3.4.2.7. Конкурс в субъекте Российской Федерации проводится ежегодно по графику, согласованному организационным комитетом Конкурса.</w:t>
      </w:r>
    </w:p>
    <w:p>
      <w:pPr>
        <w:pStyle w:val="0"/>
        <w:spacing w:before="200" w:lineRule="auto"/>
        <w:ind w:firstLine="540"/>
        <w:jc w:val="both"/>
      </w:pPr>
      <w:r>
        <w:rPr>
          <w:sz w:val="20"/>
        </w:rPr>
        <w:t xml:space="preserve">3.4.2.8. Номинации Конкурса в субъекте Российской Федерации содержат основные и специальные номинации, которые определяются положением Конкурса. В дополнение к основным номинациям субъект Российской Федерации может устанавливать собственные специальные номинации.</w:t>
      </w:r>
    </w:p>
    <w:p>
      <w:pPr>
        <w:pStyle w:val="0"/>
        <w:spacing w:before="200" w:lineRule="auto"/>
        <w:ind w:firstLine="540"/>
        <w:jc w:val="both"/>
      </w:pPr>
      <w:r>
        <w:rPr>
          <w:sz w:val="20"/>
        </w:rPr>
        <w:t xml:space="preserve">3.4.2.9. В рамках организации регионального этапа Конкурса в субъекте Российской Федерации ЦИСС осуществляет:</w:t>
      </w:r>
    </w:p>
    <w:p>
      <w:pPr>
        <w:pStyle w:val="0"/>
        <w:spacing w:before="200" w:lineRule="auto"/>
        <w:ind w:firstLine="540"/>
        <w:jc w:val="both"/>
      </w:pPr>
      <w:r>
        <w:rPr>
          <w:sz w:val="20"/>
        </w:rPr>
        <w:t xml:space="preserve">а) информационное сопровождение регионального этапа Конкурса;</w:t>
      </w:r>
    </w:p>
    <w:p>
      <w:pPr>
        <w:pStyle w:val="0"/>
        <w:spacing w:before="200" w:lineRule="auto"/>
        <w:ind w:firstLine="540"/>
        <w:jc w:val="both"/>
      </w:pPr>
      <w:r>
        <w:rPr>
          <w:sz w:val="20"/>
        </w:rPr>
        <w:t xml:space="preserve">б) работу по регистрации заявок на участие в единой информационной системе Конкурса;</w:t>
      </w:r>
    </w:p>
    <w:p>
      <w:pPr>
        <w:pStyle w:val="0"/>
        <w:spacing w:before="200" w:lineRule="auto"/>
        <w:ind w:firstLine="540"/>
        <w:jc w:val="both"/>
      </w:pPr>
      <w:r>
        <w:rPr>
          <w:sz w:val="20"/>
        </w:rPr>
        <w:t xml:space="preserve">в) организацию работы региональной экспертной группы по оценке заявок участников Конкурса;</w:t>
      </w:r>
    </w:p>
    <w:p>
      <w:pPr>
        <w:pStyle w:val="0"/>
        <w:spacing w:before="200" w:lineRule="auto"/>
        <w:ind w:firstLine="540"/>
        <w:jc w:val="both"/>
      </w:pPr>
      <w:r>
        <w:rPr>
          <w:sz w:val="20"/>
        </w:rPr>
        <w:t xml:space="preserve">г) награждение призами победителей в номинации Конкурса в субъекте Российской Федерации;</w:t>
      </w:r>
    </w:p>
    <w:p>
      <w:pPr>
        <w:pStyle w:val="0"/>
        <w:spacing w:before="200" w:lineRule="auto"/>
        <w:ind w:firstLine="540"/>
        <w:jc w:val="both"/>
      </w:pPr>
      <w:r>
        <w:rPr>
          <w:sz w:val="20"/>
        </w:rPr>
        <w:t xml:space="preserve">д) подведение итогов Конкурса.</w:t>
      </w:r>
    </w:p>
    <w:p>
      <w:pPr>
        <w:pStyle w:val="0"/>
        <w:spacing w:before="200" w:lineRule="auto"/>
        <w:ind w:firstLine="540"/>
        <w:jc w:val="both"/>
      </w:pPr>
      <w:r>
        <w:rPr>
          <w:sz w:val="20"/>
        </w:rPr>
        <w:t xml:space="preserve">3.4.2.9.1. Награждение победителей Конкурса может проходить в рамках торжественной церемонии награждения.</w:t>
      </w:r>
    </w:p>
    <w:p>
      <w:pPr>
        <w:pStyle w:val="0"/>
        <w:spacing w:before="200" w:lineRule="auto"/>
        <w:ind w:firstLine="540"/>
        <w:jc w:val="both"/>
      </w:pPr>
      <w:r>
        <w:rPr>
          <w:sz w:val="20"/>
        </w:rPr>
        <w:t xml:space="preserve">3.4.2.10. Призы победителям в номинации Конкурса в субъекте Российской Федерации должны стимулировать дальнейшее развитие предпринимательской деятельности и представляют собой в том числе:</w:t>
      </w:r>
    </w:p>
    <w:p>
      <w:pPr>
        <w:pStyle w:val="0"/>
        <w:spacing w:before="200" w:lineRule="auto"/>
        <w:ind w:firstLine="540"/>
        <w:jc w:val="both"/>
      </w:pPr>
      <w:r>
        <w:rPr>
          <w:sz w:val="20"/>
        </w:rPr>
        <w:t xml:space="preserve">а) сертификат на обучение презентационным навыкам, навыкам эффективных продаж, проведения деловых переговоров на сумму не более 50 тыс. рублей;</w:t>
      </w:r>
    </w:p>
    <w:p>
      <w:pPr>
        <w:pStyle w:val="0"/>
        <w:spacing w:before="200" w:lineRule="auto"/>
        <w:ind w:firstLine="540"/>
        <w:jc w:val="both"/>
      </w:pPr>
      <w:r>
        <w:rPr>
          <w:sz w:val="20"/>
        </w:rPr>
        <w:t xml:space="preserve">б) сертификат на обучение инструментам продвижения в сети "Интернет" на сумму не более 10 тыс. рублей;</w:t>
      </w:r>
    </w:p>
    <w:p>
      <w:pPr>
        <w:pStyle w:val="0"/>
        <w:spacing w:before="200" w:lineRule="auto"/>
        <w:ind w:firstLine="540"/>
        <w:jc w:val="both"/>
      </w:pPr>
      <w:r>
        <w:rPr>
          <w:sz w:val="20"/>
        </w:rPr>
        <w:t xml:space="preserve">в) сертификат на создание документации по тиражированию проекта в виде франшизы;</w:t>
      </w:r>
    </w:p>
    <w:p>
      <w:pPr>
        <w:pStyle w:val="0"/>
        <w:spacing w:before="200" w:lineRule="auto"/>
        <w:ind w:firstLine="540"/>
        <w:jc w:val="both"/>
      </w:pPr>
      <w:r>
        <w:rPr>
          <w:sz w:val="20"/>
        </w:rPr>
        <w:t xml:space="preserve">г) сертификат на создание средств индивидуализации (в том числе товарного знака) с изготовлением презентационных материалов (в том числе презентации, сайта, фирменного стиля);</w:t>
      </w:r>
    </w:p>
    <w:p>
      <w:pPr>
        <w:pStyle w:val="0"/>
        <w:spacing w:before="200" w:lineRule="auto"/>
        <w:ind w:firstLine="540"/>
        <w:jc w:val="both"/>
      </w:pPr>
      <w:r>
        <w:rPr>
          <w:sz w:val="20"/>
        </w:rPr>
        <w:t xml:space="preserve">д) сертификат на информационное и рекламное сопровождение;</w:t>
      </w:r>
    </w:p>
    <w:p>
      <w:pPr>
        <w:pStyle w:val="0"/>
        <w:spacing w:before="200" w:lineRule="auto"/>
        <w:ind w:firstLine="540"/>
        <w:jc w:val="both"/>
      </w:pPr>
      <w:r>
        <w:rPr>
          <w:sz w:val="20"/>
        </w:rPr>
        <w:t xml:space="preserve">е) сертификат на содействие в размещении информации о товарах (работах, услугах) на электронной торговой площадке;</w:t>
      </w:r>
    </w:p>
    <w:p>
      <w:pPr>
        <w:pStyle w:val="0"/>
        <w:spacing w:before="200" w:lineRule="auto"/>
        <w:ind w:firstLine="540"/>
        <w:jc w:val="both"/>
      </w:pPr>
      <w:r>
        <w:rPr>
          <w:sz w:val="20"/>
        </w:rPr>
        <w:t xml:space="preserve">ж) призы от партнеров регионального этапа Конкурса.</w:t>
      </w:r>
    </w:p>
    <w:p>
      <w:pPr>
        <w:pStyle w:val="0"/>
        <w:spacing w:before="200" w:lineRule="auto"/>
        <w:ind w:firstLine="540"/>
        <w:jc w:val="both"/>
      </w:pPr>
      <w:r>
        <w:rPr>
          <w:sz w:val="20"/>
        </w:rPr>
        <w:t xml:space="preserve">3.4.2.11. В целях проведения Конкурса в субъекте Российской Федерации создается коллегиальный орган, формируемый ЦИСС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Конкурса прошлых лет для оценки заявок участников по номинациям Конкурса, определения победителей в каждой номинации Конкурса (далее - региональная экспертная группа).</w:t>
      </w:r>
    </w:p>
    <w:p>
      <w:pPr>
        <w:pStyle w:val="0"/>
        <w:spacing w:before="200" w:lineRule="auto"/>
        <w:ind w:firstLine="540"/>
        <w:jc w:val="both"/>
      </w:pPr>
      <w:r>
        <w:rPr>
          <w:sz w:val="20"/>
        </w:rPr>
        <w:t xml:space="preserve">3.4.2.12. Документация Конкурса в субъекте Российской Федерации разрабатывается ЦИСС по рекомендациям дирекции Конкурса, размещается на его официальном сайте в сети "Интернет" и включает в себя:</w:t>
      </w:r>
    </w:p>
    <w:p>
      <w:pPr>
        <w:pStyle w:val="0"/>
        <w:spacing w:before="200" w:lineRule="auto"/>
        <w:ind w:firstLine="540"/>
        <w:jc w:val="both"/>
      </w:pPr>
      <w:r>
        <w:rPr>
          <w:sz w:val="20"/>
        </w:rPr>
        <w:t xml:space="preserve">а) сроки проведения Конкурса, включая сроки окончания подачи заявок на участие в Конкурсе;</w:t>
      </w:r>
    </w:p>
    <w:p>
      <w:pPr>
        <w:pStyle w:val="0"/>
        <w:spacing w:before="200" w:lineRule="auto"/>
        <w:ind w:firstLine="540"/>
        <w:jc w:val="both"/>
      </w:pPr>
      <w:r>
        <w:rPr>
          <w:sz w:val="20"/>
        </w:rPr>
        <w:t xml:space="preserve">б) порядок подачи заявок на участие в Конкурсе;</w:t>
      </w:r>
    </w:p>
    <w:p>
      <w:pPr>
        <w:pStyle w:val="0"/>
        <w:spacing w:before="200" w:lineRule="auto"/>
        <w:ind w:firstLine="540"/>
        <w:jc w:val="both"/>
      </w:pPr>
      <w:r>
        <w:rPr>
          <w:sz w:val="20"/>
        </w:rPr>
        <w:t xml:space="preserve">в) критерии и порядок определения победителей Конкурса;</w:t>
      </w:r>
    </w:p>
    <w:p>
      <w:pPr>
        <w:pStyle w:val="0"/>
        <w:spacing w:before="200" w:lineRule="auto"/>
        <w:ind w:firstLine="540"/>
        <w:jc w:val="both"/>
      </w:pPr>
      <w:r>
        <w:rPr>
          <w:sz w:val="20"/>
        </w:rPr>
        <w:t xml:space="preserve">г) порядок информирования победителей Конкурса о результатах Конкурса, а также об отклонении заявок на участие в Конкурсе участников, не соответствующих требованиям, установленным в положении Конкурса;</w:t>
      </w:r>
    </w:p>
    <w:p>
      <w:pPr>
        <w:pStyle w:val="0"/>
        <w:spacing w:before="200" w:lineRule="auto"/>
        <w:ind w:firstLine="540"/>
        <w:jc w:val="both"/>
      </w:pPr>
      <w:r>
        <w:rPr>
          <w:sz w:val="20"/>
        </w:rPr>
        <w:t xml:space="preserve">д) порядок проведения награждения победителей регионального этапа Конкурса;</w:t>
      </w:r>
    </w:p>
    <w:p>
      <w:pPr>
        <w:pStyle w:val="0"/>
        <w:spacing w:before="200" w:lineRule="auto"/>
        <w:ind w:firstLine="540"/>
        <w:jc w:val="both"/>
      </w:pPr>
      <w:r>
        <w:rPr>
          <w:sz w:val="20"/>
        </w:rPr>
        <w:t xml:space="preserve">е) иные информацию и документацию, рекомендованные для размещения дирекцией Конкурса.</w:t>
      </w:r>
    </w:p>
    <w:p>
      <w:pPr>
        <w:pStyle w:val="0"/>
        <w:spacing w:before="200" w:lineRule="auto"/>
        <w:ind w:firstLine="540"/>
        <w:jc w:val="both"/>
      </w:pPr>
      <w:r>
        <w:rPr>
          <w:sz w:val="20"/>
        </w:rPr>
        <w:t xml:space="preserve">3.4.2.13. Информация об участниках Конкурса является конфиденциальной и не может быть использована ЦИСС, членами региональной экспертной группы, дирекцией Конкурса и привлеченными сторонними организациями для иных целей, кроме конкурсной оценки участника Конкурса, без его письменного согласия.</w:t>
      </w:r>
    </w:p>
    <w:bookmarkStart w:id="571" w:name="P571"/>
    <w:bookmarkEnd w:id="571"/>
    <w:p>
      <w:pPr>
        <w:pStyle w:val="0"/>
        <w:spacing w:before="200" w:lineRule="auto"/>
        <w:ind w:firstLine="540"/>
        <w:jc w:val="both"/>
      </w:pPr>
      <w:r>
        <w:rPr>
          <w:sz w:val="20"/>
        </w:rPr>
        <w:t xml:space="preserve">3.4.2.14. Итоги регионального этапа Конкурса оформляются протоколами заседаний региональной экспертной группы, которые в течение 10 рабочих дней после дня их подписания подлежат размещению в специальном разделе ЦИСС на сайте центра "Мой бизнес" в сети "Интернет", а также направлению в адрес дирекции Конкурса.</w:t>
      </w:r>
    </w:p>
    <w:p>
      <w:pPr>
        <w:pStyle w:val="0"/>
        <w:spacing w:before="200" w:lineRule="auto"/>
        <w:ind w:firstLine="540"/>
        <w:jc w:val="both"/>
      </w:pPr>
      <w:r>
        <w:rPr>
          <w:sz w:val="20"/>
        </w:rPr>
        <w:t xml:space="preserve">3.4.2.15. Руководитель ЦИСС должен иметь:</w:t>
      </w:r>
    </w:p>
    <w:p>
      <w:pPr>
        <w:pStyle w:val="0"/>
        <w:spacing w:before="200" w:lineRule="auto"/>
        <w:ind w:firstLine="540"/>
        <w:jc w:val="both"/>
      </w:pPr>
      <w:r>
        <w:rPr>
          <w:sz w:val="20"/>
        </w:rPr>
        <w:t xml:space="preserve">а) гражданство Российской Федерации;</w:t>
      </w:r>
    </w:p>
    <w:p>
      <w:pPr>
        <w:pStyle w:val="0"/>
        <w:spacing w:before="200" w:lineRule="auto"/>
        <w:ind w:firstLine="540"/>
        <w:jc w:val="both"/>
      </w:pPr>
      <w:r>
        <w:rPr>
          <w:sz w:val="20"/>
        </w:rPr>
        <w:t xml:space="preserve">б) высшее образование и документ, подтверждающий повышение квалификации в области управления;</w:t>
      </w:r>
    </w:p>
    <w:p>
      <w:pPr>
        <w:pStyle w:val="0"/>
        <w:spacing w:before="200" w:lineRule="auto"/>
        <w:ind w:firstLine="540"/>
        <w:jc w:val="both"/>
      </w:pPr>
      <w:r>
        <w:rPr>
          <w:sz w:val="20"/>
        </w:rPr>
        <w:t xml:space="preserve">в) опыт работы на руководящих должностях не менее 3 лет или опыт работы в сфере поддержки МСП не менее 1 года.</w:t>
      </w:r>
    </w:p>
    <w:bookmarkStart w:id="576" w:name="P576"/>
    <w:bookmarkEnd w:id="576"/>
    <w:p>
      <w:pPr>
        <w:pStyle w:val="0"/>
        <w:spacing w:before="200" w:lineRule="auto"/>
        <w:ind w:firstLine="540"/>
        <w:jc w:val="both"/>
      </w:pPr>
      <w:r>
        <w:rPr>
          <w:sz w:val="20"/>
        </w:rPr>
        <w:t xml:space="preserve">3.4.2.16. ЦИСС на постоянной основе должен размещать и обеспечивать обновление (актуализацию) (не реже 2 раз в месяц) в специальном разделе ЦИСС на сайте центра "Мой бизнес" следующей информации:</w:t>
      </w:r>
    </w:p>
    <w:p>
      <w:pPr>
        <w:pStyle w:val="0"/>
        <w:spacing w:before="200" w:lineRule="auto"/>
        <w:ind w:firstLine="540"/>
        <w:jc w:val="both"/>
      </w:pPr>
      <w:r>
        <w:rPr>
          <w:sz w:val="20"/>
        </w:rPr>
        <w:t xml:space="preserve">а) сведений о деятельности ЦИСС и оказываемых им услугах, в том числе о стоимости платных услуг;</w:t>
      </w:r>
    </w:p>
    <w:p>
      <w:pPr>
        <w:pStyle w:val="0"/>
        <w:spacing w:before="200" w:lineRule="auto"/>
        <w:ind w:firstLine="540"/>
        <w:jc w:val="both"/>
      </w:pPr>
      <w:r>
        <w:rPr>
          <w:sz w:val="20"/>
        </w:rPr>
        <w:t xml:space="preserve">б) сведений о проведенных мероприятиях, о проектах, реализуемых субъектами МСП, осуществляющими деятельность в сфере социального предпринимательства.</w:t>
      </w:r>
    </w:p>
    <w:p>
      <w:pPr>
        <w:pStyle w:val="0"/>
        <w:spacing w:before="200" w:lineRule="auto"/>
        <w:ind w:firstLine="540"/>
        <w:jc w:val="both"/>
      </w:pPr>
      <w:r>
        <w:rPr>
          <w:sz w:val="20"/>
        </w:rPr>
        <w:t xml:space="preserve">3.4.3.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0"/>
            <w:color w:val="0000ff"/>
          </w:rPr>
          <w:t xml:space="preserve">подпункте 3.1 пункта 3</w:t>
        </w:r>
      </w:hyperlink>
      <w:r>
        <w:rPr>
          <w:sz w:val="20"/>
        </w:rPr>
        <w:t xml:space="preserve"> настоящих Требований, может быть предоставлена субсидия на создание и (или) развитие окон многофункциональных центров для бизнеса, предоставляющих услуги в центре "Мой бизнес".</w:t>
      </w:r>
    </w:p>
    <w:p>
      <w:pPr>
        <w:pStyle w:val="0"/>
        <w:spacing w:before="200" w:lineRule="auto"/>
        <w:ind w:firstLine="540"/>
        <w:jc w:val="both"/>
      </w:pPr>
      <w:r>
        <w:rPr>
          <w:sz w:val="20"/>
        </w:rPr>
        <w:t xml:space="preserve">3.4.3.1. Средства субсидии направляются субъектом Российской Федерации на:</w:t>
      </w:r>
    </w:p>
    <w:p>
      <w:pPr>
        <w:pStyle w:val="0"/>
        <w:spacing w:before="200" w:lineRule="auto"/>
        <w:ind w:firstLine="540"/>
        <w:jc w:val="both"/>
      </w:pPr>
      <w:r>
        <w:rPr>
          <w:sz w:val="20"/>
        </w:rPr>
        <w:t xml:space="preserve">а) создание, оборудование и организацию работы окон обслуживания субъектов МСП, а также граждан, желающих вести бизнес, в центре "Мой бизнес";</w:t>
      </w:r>
    </w:p>
    <w:p>
      <w:pPr>
        <w:pStyle w:val="0"/>
        <w:spacing w:before="200" w:lineRule="auto"/>
        <w:ind w:firstLine="540"/>
        <w:jc w:val="both"/>
      </w:pPr>
      <w:r>
        <w:rPr>
          <w:sz w:val="20"/>
        </w:rPr>
        <w:t xml:space="preserve">б) доработку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МСП и гражданам, желающим вести бизнес;</w:t>
      </w:r>
    </w:p>
    <w:p>
      <w:pPr>
        <w:pStyle w:val="0"/>
        <w:spacing w:before="200" w:lineRule="auto"/>
        <w:ind w:firstLine="540"/>
        <w:jc w:val="both"/>
      </w:pPr>
      <w:r>
        <w:rPr>
          <w:sz w:val="20"/>
        </w:rPr>
        <w:t xml:space="preserve">в) настройку сайта (сайтов) центра "Мой бизнес" с разделом многофункциональных центров для бизнеса в сети "Интернет" для организации предоставления услуг субъектам МСП и гражданам, желающим вести бизнес;</w:t>
      </w:r>
    </w:p>
    <w:p>
      <w:pPr>
        <w:pStyle w:val="0"/>
        <w:spacing w:before="200" w:lineRule="auto"/>
        <w:ind w:firstLine="540"/>
        <w:jc w:val="both"/>
      </w:pPr>
      <w:r>
        <w:rPr>
          <w:sz w:val="20"/>
        </w:rPr>
        <w:t xml:space="preserve">г) методическое (методологическое), информационно-технологическое обеспечение организации предоставления услуг субъектам МСП и гражданам, желающим вести бизнес, по принципу "одного окна";</w:t>
      </w:r>
    </w:p>
    <w:p>
      <w:pPr>
        <w:pStyle w:val="0"/>
        <w:spacing w:before="200" w:lineRule="auto"/>
        <w:ind w:firstLine="540"/>
        <w:jc w:val="both"/>
      </w:pPr>
      <w:r>
        <w:rPr>
          <w:sz w:val="20"/>
        </w:rPr>
        <w:t xml:space="preserve">д) информирование субъектов МСП и граждан, желающих вести бизнес, об услугах и мерах поддержки, предоставляемых в окнах многофункциональных центров для бизнеса, создаваемых и (или) действующих в центре "Мой бизнес", в том числе в средствах массовой информации;</w:t>
      </w:r>
    </w:p>
    <w:p>
      <w:pPr>
        <w:pStyle w:val="0"/>
        <w:spacing w:before="200" w:lineRule="auto"/>
        <w:ind w:firstLine="540"/>
        <w:jc w:val="both"/>
      </w:pPr>
      <w:r>
        <w:rPr>
          <w:sz w:val="20"/>
        </w:rPr>
        <w:t xml:space="preserve">е) организацию обучения специалистов, осуществляющих взаимодействие с заявителями.</w:t>
      </w:r>
    </w:p>
    <w:p>
      <w:pPr>
        <w:pStyle w:val="0"/>
        <w:spacing w:before="200" w:lineRule="auto"/>
        <w:ind w:firstLine="540"/>
        <w:jc w:val="both"/>
      </w:pPr>
      <w:r>
        <w:rPr>
          <w:sz w:val="20"/>
        </w:rPr>
        <w:t xml:space="preserve">3.4.3.2. Требованиями к многофункциональным центрам для бизнеса, создаваемым и (или) действующим в центре "Мой бизнес", являются:</w:t>
      </w:r>
    </w:p>
    <w:p>
      <w:pPr>
        <w:pStyle w:val="0"/>
        <w:spacing w:before="200" w:lineRule="auto"/>
        <w:ind w:firstLine="540"/>
        <w:jc w:val="both"/>
      </w:pPr>
      <w:r>
        <w:rPr>
          <w:sz w:val="20"/>
        </w:rPr>
        <w:t xml:space="preserve">а) наличие схемы размещения (планируемого размещения) окон (с указанием количества) многофункциональных центров для бизнеса, создаваемых и (или) действующих в центре "Мой бизнес";</w:t>
      </w:r>
    </w:p>
    <w:p>
      <w:pPr>
        <w:pStyle w:val="0"/>
        <w:spacing w:before="200" w:lineRule="auto"/>
        <w:ind w:firstLine="540"/>
        <w:jc w:val="both"/>
      </w:pPr>
      <w:r>
        <w:rPr>
          <w:sz w:val="20"/>
        </w:rPr>
        <w:t xml:space="preserve">б) наличие направлений расходования средств субсидии федерального бюджета и бюджета субъекта Российской Федерации на финансирование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в) наличие ключевых показателей эффективности деятельности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г) наличие утвержденного перечня услуг и мер поддержки для субъектов МСП, предоставление которых организуется в окнах многофункциональных центров для бизнеса, создаваемых и (или) действующих в центре "Мой бизнес";</w:t>
      </w:r>
    </w:p>
    <w:p>
      <w:pPr>
        <w:pStyle w:val="0"/>
        <w:spacing w:before="200" w:lineRule="auto"/>
        <w:ind w:firstLine="540"/>
        <w:jc w:val="both"/>
      </w:pPr>
      <w:r>
        <w:rPr>
          <w:sz w:val="20"/>
        </w:rPr>
        <w:t xml:space="preserve">д) наличие в соглашениях (или наличие обязательства субъекта Российской Федерации о заключении соглашений (внесении изменений в соглашения) в срок не позднее 1 апреля года предоставления субсидии) с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электроснабжения, сведений о предоставлении услуг и мер поддержки в окнах многофункциональных центров для бизнеса, создаваемых и (или) действующих в центре "Мой бизнес";</w:t>
      </w:r>
    </w:p>
    <w:p>
      <w:pPr>
        <w:pStyle w:val="0"/>
        <w:spacing w:before="200" w:lineRule="auto"/>
        <w:ind w:firstLine="540"/>
        <w:jc w:val="both"/>
      </w:pPr>
      <w:r>
        <w:rPr>
          <w:sz w:val="20"/>
        </w:rPr>
        <w:t xml:space="preserve">е)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 в случае если многофункциональный центр для бизнеса определен в соответствии с настоящими Требованиями в качестве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ж) наличие отчета о деятельности многофункционального центра для бизнеса, действующего в центре "Мой бизнес", за все предыдущие годы со дня создания (для многофункциональных центров для бизнеса, созданных до 1 января года предоставления субсидии);</w:t>
      </w:r>
    </w:p>
    <w:p>
      <w:pPr>
        <w:pStyle w:val="0"/>
        <w:spacing w:before="200" w:lineRule="auto"/>
        <w:ind w:firstLine="540"/>
        <w:jc w:val="both"/>
      </w:pPr>
      <w:r>
        <w:rPr>
          <w:sz w:val="20"/>
        </w:rPr>
        <w:t xml:space="preserve">з) включение в перечень услуг, предоставляемых в окнах многофункционального центра для бизнеса, создаваемого и (или) действующего в центре "Мой бизнес", услуг и мер поддержки субъектам МСП и гражданам, желающим вести бизнес, предоставляемых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электроснабжения, некоммерческими организациями, выражающими интересы субъектов МСП;</w:t>
      </w:r>
    </w:p>
    <w:p>
      <w:pPr>
        <w:pStyle w:val="0"/>
        <w:spacing w:before="200" w:lineRule="auto"/>
        <w:ind w:firstLine="540"/>
        <w:jc w:val="both"/>
      </w:pPr>
      <w:r>
        <w:rPr>
          <w:sz w:val="20"/>
        </w:rPr>
        <w:t xml:space="preserve">и) создание и оборудование окон многофункциональных центров для бизнеса в центре "Мой бизнес" осуществляет единый орган управления организациями, образующими инфраструктуру поддержки субъектов МСП с учетом соблюдения уровня комфортности в соответствии с </w:t>
      </w:r>
      <w:hyperlink w:history="0" r:id="rId64" w:tooltip="Постановление Правительства РФ от 22.12.2012 N 1376 (ред. от 18.03.2025)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w:t>
      </w:r>
    </w:p>
    <w:p>
      <w:pPr>
        <w:pStyle w:val="0"/>
        <w:spacing w:before="200" w:lineRule="auto"/>
        <w:ind w:firstLine="540"/>
        <w:jc w:val="both"/>
      </w:pPr>
      <w:r>
        <w:rPr>
          <w:sz w:val="20"/>
        </w:rPr>
        <w:t xml:space="preserve">к) регистрация многофункционального центра для бизнеса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л) обеспечение многофункциональным центром для бизнеса внесения и актуализации общих сведений о многофункциональном центре для бизнеса на ЦП МСП;</w:t>
      </w:r>
    </w:p>
    <w:p>
      <w:pPr>
        <w:pStyle w:val="0"/>
        <w:spacing w:before="200" w:lineRule="auto"/>
        <w:ind w:firstLine="540"/>
        <w:jc w:val="both"/>
      </w:pPr>
      <w:r>
        <w:rPr>
          <w:sz w:val="20"/>
        </w:rPr>
        <w:t xml:space="preserve">м) обеспечение публикации на ЦП МСП сведений об услугах (мерах поддержки), в том числе стандартизированных, оказываемых многофункциональным центром для бизнеса, на ЦП МСП;</w:t>
      </w:r>
    </w:p>
    <w:p>
      <w:pPr>
        <w:pStyle w:val="0"/>
        <w:spacing w:before="200" w:lineRule="auto"/>
        <w:ind w:firstLine="540"/>
        <w:jc w:val="both"/>
      </w:pPr>
      <w:r>
        <w:rPr>
          <w:sz w:val="20"/>
        </w:rPr>
        <w:t xml:space="preserve">н) обеспечение многофункциональным центром для бизнеса заполнения и актуализации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окон многофункционального центра для бизнеса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окон многофункционального центра для бизнеса на год, в котором бюджету субъекта Российской Федерации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3.5.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0"/>
            <w:color w:val="0000ff"/>
          </w:rPr>
          <w:t xml:space="preserve">подпункте 3.1 пункта 3</w:t>
        </w:r>
      </w:hyperlink>
      <w:r>
        <w:rPr>
          <w:sz w:val="20"/>
        </w:rPr>
        <w:t xml:space="preserve"> настоящих Требований, может быть предоставлена субсидия на создание и (или) развитие организаций, образующих блок инновационно-производственной инфраструктуры, которые могут быть созданы на базе одного юридического лица или нескольких юридических лиц, или структурных подразделений юридических лиц, которые относятся к инфраструктуре поддержки субъектов МСП и одним из учредителей которых является субъект Российской Федерации.</w:t>
      </w:r>
    </w:p>
    <w:p>
      <w:pPr>
        <w:pStyle w:val="0"/>
        <w:spacing w:before="200" w:lineRule="auto"/>
        <w:ind w:firstLine="540"/>
        <w:jc w:val="both"/>
      </w:pPr>
      <w:r>
        <w:rPr>
          <w:sz w:val="20"/>
        </w:rPr>
        <w:t xml:space="preserve">3.5.1. В блок инновационно-производственной инфраструктуры может входить один или несколько следующих центров:</w:t>
      </w:r>
    </w:p>
    <w:p>
      <w:pPr>
        <w:pStyle w:val="0"/>
        <w:spacing w:before="200" w:lineRule="auto"/>
        <w:ind w:firstLine="540"/>
        <w:jc w:val="both"/>
      </w:pPr>
      <w:r>
        <w:rPr>
          <w:sz w:val="20"/>
        </w:rPr>
        <w:t xml:space="preserve">а) центр народно-художественных промыслов, ремесленной деятельности, сельского и экологического туризма (далее - центр НХП);</w:t>
      </w:r>
    </w:p>
    <w:p>
      <w:pPr>
        <w:pStyle w:val="0"/>
        <w:spacing w:before="200" w:lineRule="auto"/>
        <w:ind w:firstLine="540"/>
        <w:jc w:val="both"/>
      </w:pPr>
      <w:r>
        <w:rPr>
          <w:sz w:val="20"/>
        </w:rPr>
        <w:t xml:space="preserve">б) инжиниринговый центр, осуществляющий деятельность в области промышленного и сельскохозяйственного производства, а также разработки и внедрения инновационной продукции для повышения технологической готовности субъектов МСП за счет обеспечения решения проектных, инженерных, технологических и организационно-внедренческих задач, возникающих у субъектов МСП (далее - РЦИ);</w:t>
      </w:r>
    </w:p>
    <w:p>
      <w:pPr>
        <w:pStyle w:val="0"/>
        <w:spacing w:before="200" w:lineRule="auto"/>
        <w:ind w:firstLine="540"/>
        <w:jc w:val="both"/>
      </w:pPr>
      <w:r>
        <w:rPr>
          <w:sz w:val="20"/>
        </w:rPr>
        <w:t xml:space="preserve">в) центр прототипирования, оказывающий субъектам МСП услуги по созданию макетов, прототипов, опытных образцов и иной мелкосерийной продукции на этапах компьютерного проектирования до изготовления продукции (далее - центр прототипирования);</w:t>
      </w:r>
    </w:p>
    <w:p>
      <w:pPr>
        <w:pStyle w:val="0"/>
        <w:spacing w:before="200" w:lineRule="auto"/>
        <w:ind w:firstLine="540"/>
        <w:jc w:val="both"/>
      </w:pPr>
      <w:r>
        <w:rPr>
          <w:sz w:val="20"/>
        </w:rPr>
        <w:t xml:space="preserve">г) центр сертификации, стандартизации и испытаний (коллективного пользования)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интересах субъектов МСП в сфере промышленного и сельскохозяйственного производства (далее - центр сертификации);</w:t>
      </w:r>
    </w:p>
    <w:p>
      <w:pPr>
        <w:pStyle w:val="0"/>
        <w:spacing w:before="200" w:lineRule="auto"/>
        <w:ind w:firstLine="540"/>
        <w:jc w:val="both"/>
      </w:pPr>
      <w:r>
        <w:rPr>
          <w:sz w:val="20"/>
        </w:rPr>
        <w:t xml:space="preserve">д) центр кластерного развития для выявления кластерных инициатив, содействия координации проектов субъектов МСП,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 (далее - ЦКР).</w:t>
      </w:r>
    </w:p>
    <w:p>
      <w:pPr>
        <w:pStyle w:val="0"/>
        <w:spacing w:before="200" w:lineRule="auto"/>
        <w:ind w:firstLine="540"/>
        <w:jc w:val="both"/>
      </w:pPr>
      <w:r>
        <w:rPr>
          <w:sz w:val="20"/>
        </w:rPr>
        <w:t xml:space="preserve">3.5.2. Субсидия не может быть предоставлена субъекту Российской Федерации, если к финансированию представлены расходы, совпадающие по форме, срокам и виду с расходами, осуществленными субъектом Российской Федерации в соответствии с </w:t>
      </w:r>
      <w:hyperlink w:history="0" r:id="rId65" w:tooltip="Постановление Правительства РФ от 22.02.2014 N 134 (ред. от 25.05.2016) &quot;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quot;Развитие инжиниринговой деятельности и промышленного дизайна&quot;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Правилами</w:t>
        </w:r>
      </w:hyperlink>
      <w:r>
        <w:rPr>
          <w:sz w:val="20"/>
        </w:rPr>
        <w:t xml:space="preserve">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утвержденными постановлением Правительства Российской Федерации от 22 февраля 2014 г. N 134.</w:t>
      </w:r>
    </w:p>
    <w:p>
      <w:pPr>
        <w:pStyle w:val="0"/>
        <w:spacing w:before="200" w:lineRule="auto"/>
        <w:ind w:firstLine="540"/>
        <w:jc w:val="both"/>
      </w:pPr>
      <w:r>
        <w:rPr>
          <w:sz w:val="20"/>
        </w:rPr>
        <w:t xml:space="preserve">3.5.3. Требованиями к предоставлению субсидии на создание и (или) развитие центров НХП являются:</w:t>
      </w:r>
    </w:p>
    <w:p>
      <w:pPr>
        <w:pStyle w:val="0"/>
        <w:spacing w:before="200" w:lineRule="auto"/>
        <w:ind w:firstLine="540"/>
        <w:jc w:val="both"/>
      </w:pPr>
      <w:r>
        <w:rPr>
          <w:sz w:val="20"/>
        </w:rPr>
        <w:t xml:space="preserve">а) наличие на территории субъекта Российской Федерации центра НХП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центра НХП в соответствии с требованиями, установленными </w:t>
      </w:r>
      <w:hyperlink w:history="0" w:anchor="P618" w:tooltip="3.5.3.1. Центр НХП должен соответствовать следующим требованиям:">
        <w:r>
          <w:rPr>
            <w:sz w:val="20"/>
            <w:color w:val="0000ff"/>
          </w:rPr>
          <w:t xml:space="preserve">подпунктами 3.5.3.1</w:t>
        </w:r>
      </w:hyperlink>
      <w:r>
        <w:rPr>
          <w:sz w:val="20"/>
        </w:rPr>
        <w:t xml:space="preserve"> - </w:t>
      </w:r>
      <w:hyperlink w:history="0" w:anchor="P662" w:tooltip="3.5.3.5. 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СП, в случае если они состоят в одной группе лиц.">
        <w:r>
          <w:rPr>
            <w:sz w:val="20"/>
            <w:color w:val="0000ff"/>
          </w:rPr>
          <w:t xml:space="preserve">3.5.3.5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центра НХП на среднесрочный (не менее 3 лет) плановый период и план деятельности центра НХП на очередной год;</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д) наличие ключевых показателей эффективности деятельности центра НХП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е) наличие обязательства субъекта Российской Федерации обеспечить функционирование центра НХП в течение не менее 10 лет со дня его создания за счет субсидии.</w:t>
      </w:r>
    </w:p>
    <w:bookmarkStart w:id="618" w:name="P618"/>
    <w:bookmarkEnd w:id="618"/>
    <w:p>
      <w:pPr>
        <w:pStyle w:val="0"/>
        <w:spacing w:before="200" w:lineRule="auto"/>
        <w:ind w:firstLine="540"/>
        <w:jc w:val="both"/>
      </w:pPr>
      <w:r>
        <w:rPr>
          <w:sz w:val="20"/>
        </w:rPr>
        <w:t xml:space="preserve">3.5.3.1. Центр НХП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ведение раздельного бухгалтерского учета по денежным средствам, предоставленным центру НХП за счет средств бюджетов всех уровней и внебюджетных источников;</w:t>
      </w:r>
    </w:p>
    <w:p>
      <w:pPr>
        <w:pStyle w:val="0"/>
        <w:spacing w:before="200" w:lineRule="auto"/>
        <w:ind w:firstLine="540"/>
        <w:jc w:val="both"/>
      </w:pPr>
      <w:r>
        <w:rPr>
          <w:sz w:val="20"/>
        </w:rPr>
        <w:t xml:space="preserve">г) разрабатывать программу (стратегию) развития центра НХП на среднесрочный (не менее 3 лет) плановый период и (или) бизнес-план развития центра НХП и план деятельности центра НХП на очередной год;</w:t>
      </w:r>
    </w:p>
    <w:p>
      <w:pPr>
        <w:pStyle w:val="0"/>
        <w:spacing w:before="200" w:lineRule="auto"/>
        <w:ind w:firstLine="540"/>
        <w:jc w:val="both"/>
      </w:pPr>
      <w:r>
        <w:rPr>
          <w:sz w:val="20"/>
        </w:rPr>
        <w:t xml:space="preserve">д) привлекать в целях осуществления деятельности специализированные организации и квалифицированных специалистов;</w:t>
      </w:r>
    </w:p>
    <w:p>
      <w:pPr>
        <w:pStyle w:val="0"/>
        <w:spacing w:before="200" w:lineRule="auto"/>
        <w:ind w:firstLine="540"/>
        <w:jc w:val="both"/>
      </w:pPr>
      <w:r>
        <w:rPr>
          <w:sz w:val="20"/>
        </w:rPr>
        <w:t xml:space="preserve">е) обеспечивать наличие специального раздела центра НХП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центром НХП;</w:t>
      </w:r>
    </w:p>
    <w:p>
      <w:pPr>
        <w:pStyle w:val="0"/>
        <w:spacing w:before="200" w:lineRule="auto"/>
        <w:ind w:firstLine="540"/>
        <w:jc w:val="both"/>
      </w:pPr>
      <w:r>
        <w:rPr>
          <w:sz w:val="20"/>
        </w:rPr>
        <w:t xml:space="preserve">формирование заявления (заявки) о предоставлении услуги центра НХП в форме электронного документа;</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центра НХП в электронном виде с использованием ЦП МСП;</w:t>
      </w:r>
    </w:p>
    <w:p>
      <w:pPr>
        <w:pStyle w:val="0"/>
        <w:spacing w:before="200" w:lineRule="auto"/>
        <w:ind w:firstLine="540"/>
        <w:jc w:val="both"/>
      </w:pPr>
      <w:r>
        <w:rPr>
          <w:sz w:val="20"/>
        </w:rPr>
        <w:t xml:space="preserve">ж) обеспечивать наличие не менее 1 рабочего места для специалистов центра НХП,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00" w:lineRule="auto"/>
        <w:ind w:firstLine="540"/>
        <w:jc w:val="both"/>
      </w:pPr>
      <w:r>
        <w:rPr>
          <w:sz w:val="20"/>
        </w:rPr>
        <w:t xml:space="preserve">з)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и) обеспечивать внесение и актуализацию общих сведений о центре НХП на ЦП МСП;</w:t>
      </w:r>
    </w:p>
    <w:p>
      <w:pPr>
        <w:pStyle w:val="0"/>
        <w:spacing w:before="200" w:lineRule="auto"/>
        <w:ind w:firstLine="540"/>
        <w:jc w:val="both"/>
      </w:pPr>
      <w:r>
        <w:rPr>
          <w:sz w:val="20"/>
        </w:rPr>
        <w:t xml:space="preserve">к) обеспечивать публикацию на ЦП МСП сведений об услугах и мерах поддержки, оказываемых центром НХП, на ЦП МСП;</w:t>
      </w:r>
    </w:p>
    <w:p>
      <w:pPr>
        <w:pStyle w:val="0"/>
        <w:spacing w:before="200" w:lineRule="auto"/>
        <w:ind w:firstLine="540"/>
        <w:jc w:val="both"/>
      </w:pPr>
      <w:r>
        <w:rPr>
          <w:sz w:val="20"/>
        </w:rPr>
        <w:t xml:space="preserve">л) обеспечивать оказание услуг и мер поддержки в соответствии с функционалом ЦП МСП в случае подачи заявлений (заявок) о предоставлении услуг центра НХП с использованием ЦП МСП;</w:t>
      </w:r>
    </w:p>
    <w:p>
      <w:pPr>
        <w:pStyle w:val="0"/>
        <w:spacing w:before="200" w:lineRule="auto"/>
        <w:ind w:firstLine="540"/>
        <w:jc w:val="both"/>
      </w:pPr>
      <w:r>
        <w:rPr>
          <w:sz w:val="20"/>
        </w:rPr>
        <w:t xml:space="preserve">м) обеспечивать внесение и актуализацию сведений об оказанных центром НХП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н)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центра НХП в многофункциональных центрах для бизнеса;</w:t>
      </w:r>
    </w:p>
    <w:p>
      <w:pPr>
        <w:pStyle w:val="0"/>
        <w:spacing w:before="200" w:lineRule="auto"/>
        <w:ind w:firstLine="540"/>
        <w:jc w:val="both"/>
      </w:pPr>
      <w:r>
        <w:rPr>
          <w:sz w:val="20"/>
        </w:rPr>
        <w:t xml:space="preserve">о)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центра НХП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3.5.3.2. Центр НХП в рамках деятельности должен обеспечивать:</w:t>
      </w:r>
    </w:p>
    <w:p>
      <w:pPr>
        <w:pStyle w:val="0"/>
        <w:spacing w:before="200" w:lineRule="auto"/>
        <w:ind w:firstLine="540"/>
        <w:jc w:val="both"/>
      </w:pPr>
      <w:r>
        <w:rPr>
          <w:sz w:val="20"/>
        </w:rPr>
        <w:t xml:space="preserve">а) продвижение информации об услугах центра НХП,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б) предоставление гражданам, желающим вести бизнес, субъектам МСП услуг, указанных в </w:t>
      </w:r>
      <w:hyperlink w:history="0" w:anchor="P647" w:tooltip="3.5.3.3. Центр НХП должен обеспечивать предоставление гражданам, желающим вести бизнес, субъектам МСП следующих услуг:">
        <w:r>
          <w:rPr>
            <w:sz w:val="20"/>
            <w:color w:val="0000ff"/>
          </w:rPr>
          <w:t xml:space="preserve">подпункте 3.5.3.3 пункта 3</w:t>
        </w:r>
      </w:hyperlink>
      <w:r>
        <w:rPr>
          <w:sz w:val="20"/>
        </w:rPr>
        <w:t xml:space="preserve"> настоящих Требований;</w:t>
      </w:r>
    </w:p>
    <w:p>
      <w:pPr>
        <w:pStyle w:val="0"/>
        <w:spacing w:before="200" w:lineRule="auto"/>
        <w:ind w:firstLine="540"/>
        <w:jc w:val="both"/>
      </w:pPr>
      <w:r>
        <w:rPr>
          <w:sz w:val="20"/>
        </w:rPr>
        <w:t xml:space="preserve">в) предоставление субъектам МСП доступа к оборудованию центра НХП;</w:t>
      </w:r>
    </w:p>
    <w:p>
      <w:pPr>
        <w:pStyle w:val="0"/>
        <w:spacing w:before="200" w:lineRule="auto"/>
        <w:ind w:firstLine="540"/>
        <w:jc w:val="both"/>
      </w:pPr>
      <w:r>
        <w:rPr>
          <w:sz w:val="20"/>
        </w:rPr>
        <w:t xml:space="preserve">г) организацию проведения вебинаров, круглых столов, семинаров для граждан, желающих вести бизнес, субъектов МСП;</w:t>
      </w:r>
    </w:p>
    <w:p>
      <w:pPr>
        <w:pStyle w:val="0"/>
        <w:spacing w:before="200" w:lineRule="auto"/>
        <w:ind w:firstLine="540"/>
        <w:jc w:val="both"/>
      </w:pPr>
      <w:r>
        <w:rPr>
          <w:sz w:val="20"/>
        </w:rPr>
        <w:t xml:space="preserve">д) создание и ведение базы данных организаций, оказывающих услуги, связанные с выполнением центром НХП своих функций;</w:t>
      </w:r>
    </w:p>
    <w:p>
      <w:pPr>
        <w:pStyle w:val="0"/>
        <w:spacing w:before="200" w:lineRule="auto"/>
        <w:ind w:firstLine="540"/>
        <w:jc w:val="both"/>
      </w:pPr>
      <w:r>
        <w:rPr>
          <w:sz w:val="20"/>
        </w:rPr>
        <w:t xml:space="preserve">е) функционирование специального раздела центра НХП на сайте центра "Мой бизнес", ведение учетных записей (аккаунтов) в сети "Интернет", направленных на информирование субъектов МСП об оказываемых центром НХП услугах;</w:t>
      </w:r>
    </w:p>
    <w:p>
      <w:pPr>
        <w:pStyle w:val="0"/>
        <w:spacing w:before="200" w:lineRule="auto"/>
        <w:ind w:firstLine="540"/>
        <w:jc w:val="both"/>
      </w:pPr>
      <w:r>
        <w:rPr>
          <w:sz w:val="20"/>
        </w:rPr>
        <w:t xml:space="preserve">ж) организацию обучения и повышения квалификации сотрудников центра НХП;</w:t>
      </w:r>
    </w:p>
    <w:p>
      <w:pPr>
        <w:pStyle w:val="0"/>
        <w:spacing w:before="200" w:lineRule="auto"/>
        <w:ind w:firstLine="540"/>
        <w:jc w:val="both"/>
      </w:pPr>
      <w:r>
        <w:rPr>
          <w:sz w:val="20"/>
        </w:rPr>
        <w:t xml:space="preserve">з)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дня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НХП,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647" w:name="P647"/>
    <w:bookmarkEnd w:id="647"/>
    <w:p>
      <w:pPr>
        <w:pStyle w:val="0"/>
        <w:spacing w:before="200" w:lineRule="auto"/>
        <w:ind w:firstLine="540"/>
        <w:jc w:val="both"/>
      </w:pPr>
      <w:r>
        <w:rPr>
          <w:sz w:val="20"/>
        </w:rPr>
        <w:t xml:space="preserve">3.5.3.3. Центр НХП должен обеспечивать предоставление гражданам, желающим вести бизнес, субъектам МСП следующих услуг:</w:t>
      </w:r>
    </w:p>
    <w:p>
      <w:pPr>
        <w:pStyle w:val="0"/>
        <w:spacing w:before="200" w:lineRule="auto"/>
        <w:ind w:firstLine="540"/>
        <w:jc w:val="both"/>
      </w:pPr>
      <w:r>
        <w:rPr>
          <w:sz w:val="20"/>
        </w:rPr>
        <w:t xml:space="preserve">а) услуга скоринга;</w:t>
      </w:r>
    </w:p>
    <w:p>
      <w:pPr>
        <w:pStyle w:val="0"/>
        <w:spacing w:before="200" w:lineRule="auto"/>
        <w:ind w:firstLine="540"/>
        <w:jc w:val="both"/>
      </w:pPr>
      <w:r>
        <w:rPr>
          <w:sz w:val="20"/>
        </w:rPr>
        <w:t xml:space="preserve">б) консультирование об услугах центра НХП;</w:t>
      </w:r>
    </w:p>
    <w:p>
      <w:pPr>
        <w:pStyle w:val="0"/>
        <w:spacing w:before="200" w:lineRule="auto"/>
        <w:ind w:firstLine="540"/>
        <w:jc w:val="both"/>
      </w:pPr>
      <w:r>
        <w:rPr>
          <w:sz w:val="20"/>
        </w:rPr>
        <w:t xml:space="preserve">в) оказание содействия при получении государственной поддержки субъектам МСП;</w:t>
      </w:r>
    </w:p>
    <w:p>
      <w:pPr>
        <w:pStyle w:val="0"/>
        <w:spacing w:before="200" w:lineRule="auto"/>
        <w:ind w:firstLine="540"/>
        <w:jc w:val="both"/>
      </w:pPr>
      <w:r>
        <w:rPr>
          <w:sz w:val="20"/>
        </w:rPr>
        <w:t xml:space="preserve">г) оказание содействия в выводе на рынок новых продуктов (работ, услуг) субъектов МСП;</w:t>
      </w:r>
    </w:p>
    <w:p>
      <w:pPr>
        <w:pStyle w:val="0"/>
        <w:spacing w:before="200" w:lineRule="auto"/>
        <w:ind w:firstLine="540"/>
        <w:jc w:val="both"/>
      </w:pPr>
      <w:r>
        <w:rPr>
          <w:sz w:val="20"/>
        </w:rPr>
        <w:t xml:space="preserve">д) обеспечение участия субъектов МСП в мероприятиях на крупных российских и международных выставочных площадках;</w:t>
      </w:r>
    </w:p>
    <w:p>
      <w:pPr>
        <w:pStyle w:val="0"/>
        <w:spacing w:before="200" w:lineRule="auto"/>
        <w:ind w:firstLine="540"/>
        <w:jc w:val="both"/>
      </w:pPr>
      <w:r>
        <w:rPr>
          <w:sz w:val="20"/>
        </w:rPr>
        <w:t xml:space="preserve">е) продвижение товаров (работ, услуг) субъектов МСП на конгрессных и выставочно-ярмарочных мероприятиях;</w:t>
      </w:r>
    </w:p>
    <w:p>
      <w:pPr>
        <w:pStyle w:val="0"/>
        <w:spacing w:before="200" w:lineRule="auto"/>
        <w:ind w:firstLine="540"/>
        <w:jc w:val="both"/>
      </w:pPr>
      <w:r>
        <w:rPr>
          <w:sz w:val="20"/>
        </w:rPr>
        <w:t xml:space="preserve">ж) организация проведения вебинаров, круглых столов, семинаров для граждан, желающих вести бизнес, субъектов МСП;</w:t>
      </w:r>
    </w:p>
    <w:p>
      <w:pPr>
        <w:pStyle w:val="0"/>
        <w:spacing w:before="200" w:lineRule="auto"/>
        <w:ind w:firstLine="540"/>
        <w:jc w:val="both"/>
      </w:pPr>
      <w:r>
        <w:rPr>
          <w:sz w:val="20"/>
        </w:rPr>
        <w:t xml:space="preserve">з) консультационные услуги, в том числе по вопросам правового обеспечения деятельности субъектов МСП;</w:t>
      </w:r>
    </w:p>
    <w:p>
      <w:pPr>
        <w:pStyle w:val="0"/>
        <w:spacing w:before="200" w:lineRule="auto"/>
        <w:ind w:firstLine="540"/>
        <w:jc w:val="both"/>
      </w:pPr>
      <w:r>
        <w:rPr>
          <w:sz w:val="20"/>
        </w:rPr>
        <w:t xml:space="preserve">и) оказание маркетинговых услуг (проведение маркетинговых исследований, направленных на анализ различных рынков, исходя из потребностей субъектов МСП);</w:t>
      </w:r>
    </w:p>
    <w:p>
      <w:pPr>
        <w:pStyle w:val="0"/>
        <w:spacing w:before="200" w:lineRule="auto"/>
        <w:ind w:firstLine="540"/>
        <w:jc w:val="both"/>
      </w:pPr>
      <w:r>
        <w:rPr>
          <w:sz w:val="20"/>
        </w:rPr>
        <w:t xml:space="preserve">к) организация и проведение обучающих тренингов, семинаров с привлечением сторонних организаций с целью обучения сотрудников субъектов МСП;</w:t>
      </w:r>
    </w:p>
    <w:p>
      <w:pPr>
        <w:pStyle w:val="0"/>
        <w:spacing w:before="200" w:lineRule="auto"/>
        <w:ind w:firstLine="540"/>
        <w:jc w:val="both"/>
      </w:pPr>
      <w:r>
        <w:rPr>
          <w:sz w:val="20"/>
        </w:rPr>
        <w:t xml:space="preserve">л) содействие в размещении субъекта МСП на электронных торговых площадках, в том числе содействие в регистрации учетной записи (аккаунта) на электронных торговых площадках, в ежемесячном продвижении продукции субъекта МСП на электронной торговой площадке;</w:t>
      </w:r>
    </w:p>
    <w:p>
      <w:pPr>
        <w:pStyle w:val="0"/>
        <w:spacing w:before="200" w:lineRule="auto"/>
        <w:ind w:firstLine="540"/>
        <w:jc w:val="both"/>
      </w:pPr>
      <w:r>
        <w:rPr>
          <w:sz w:val="20"/>
        </w:rPr>
        <w:t xml:space="preserve">м) оказание консалтинговых услуг по специализации отдельных субъектов МСП;</w:t>
      </w:r>
    </w:p>
    <w:p>
      <w:pPr>
        <w:pStyle w:val="0"/>
        <w:spacing w:before="200" w:lineRule="auto"/>
        <w:ind w:firstLine="540"/>
        <w:jc w:val="both"/>
      </w:pPr>
      <w:r>
        <w:rPr>
          <w:sz w:val="20"/>
        </w:rPr>
        <w:t xml:space="preserve">н) иные услуги в целях содействия развитию народно-художественных промыслов, ремесленной деятельности, сельского и экологического туризма.</w:t>
      </w:r>
    </w:p>
    <w:p>
      <w:pPr>
        <w:pStyle w:val="0"/>
        <w:spacing w:before="200" w:lineRule="auto"/>
        <w:ind w:firstLine="540"/>
        <w:jc w:val="both"/>
      </w:pPr>
      <w:r>
        <w:rPr>
          <w:sz w:val="20"/>
        </w:rPr>
        <w:t xml:space="preserve">3.5.3.4. Услуги центра НХП, указанные в </w:t>
      </w:r>
      <w:hyperlink w:history="0" w:anchor="P647" w:tooltip="3.5.3.3. Центр НХП должен обеспечивать предоставление гражданам, желающим вести бизнес, субъектам МСП следующих услуг:">
        <w:r>
          <w:rPr>
            <w:sz w:val="20"/>
            <w:color w:val="0000ff"/>
          </w:rPr>
          <w:t xml:space="preserve">подпункте 3.5.3.3 пункта 3</w:t>
        </w:r>
      </w:hyperlink>
      <w:r>
        <w:rPr>
          <w:sz w:val="20"/>
        </w:rPr>
        <w:t xml:space="preserve"> настоящих Требований, предоставляются на бесплатной, частично платной и платной основе в соответствии с регламентом услуг центра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bookmarkStart w:id="662" w:name="P662"/>
    <w:bookmarkEnd w:id="662"/>
    <w:p>
      <w:pPr>
        <w:pStyle w:val="0"/>
        <w:spacing w:before="200" w:lineRule="auto"/>
        <w:ind w:firstLine="540"/>
        <w:jc w:val="both"/>
      </w:pPr>
      <w:r>
        <w:rPr>
          <w:sz w:val="20"/>
        </w:rPr>
        <w:t xml:space="preserve">3.5.3.5. 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00" w:lineRule="auto"/>
        <w:ind w:firstLine="540"/>
        <w:jc w:val="both"/>
      </w:pPr>
      <w:r>
        <w:rPr>
          <w:sz w:val="20"/>
        </w:rPr>
        <w:t xml:space="preserve">3.5.4. Требованиями к предоставлению субсидии на создание и (или) развитие РЦИ являются:</w:t>
      </w:r>
    </w:p>
    <w:p>
      <w:pPr>
        <w:pStyle w:val="0"/>
        <w:spacing w:before="200" w:lineRule="auto"/>
        <w:ind w:firstLine="540"/>
        <w:jc w:val="both"/>
      </w:pPr>
      <w:r>
        <w:rPr>
          <w:sz w:val="20"/>
        </w:rPr>
        <w:t xml:space="preserve">а) наличие на территории субъекта Российской Федерации РЦИ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РЦИ в соответствии с требованиями, установленными </w:t>
      </w:r>
      <w:hyperlink w:history="0" w:anchor="P670" w:tooltip="3.5.4.1. РЦИ должен соответствовать следующим требованиям:">
        <w:r>
          <w:rPr>
            <w:sz w:val="20"/>
            <w:color w:val="0000ff"/>
          </w:rPr>
          <w:t xml:space="preserve">подпунктами 3.5.4.1</w:t>
        </w:r>
      </w:hyperlink>
      <w:r>
        <w:rPr>
          <w:sz w:val="20"/>
        </w:rPr>
        <w:t xml:space="preserve"> - </w:t>
      </w:r>
      <w:hyperlink w:history="0" w:anchor="P763" w:tooltip="3.5.4.14. В случае если РЦИ осуществляет деятельность, предусмотренную подпунктом &quot;у&quot; подпункта 3.5.4.3 пункта 3 настоящих Требований с использованием приобретенного за средства субсидии оборудования, к РЦИ также предъявляются следующие требования:">
        <w:r>
          <w:rPr>
            <w:sz w:val="20"/>
            <w:color w:val="0000ff"/>
          </w:rPr>
          <w:t xml:space="preserve">3.5.4.14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и (или) бизнес-плана развития РЦИ на год, в котором предоставляется субсидия, и плановый период 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 а также обоснования спроса на услуги РЦИ со стороны субъектов МСП;</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pPr>
        <w:pStyle w:val="0"/>
        <w:spacing w:before="200" w:lineRule="auto"/>
        <w:ind w:firstLine="540"/>
        <w:jc w:val="both"/>
      </w:pPr>
      <w:r>
        <w:rPr>
          <w:sz w:val="20"/>
        </w:rPr>
        <w:t xml:space="preserve">д) наличие ключевых показателей эффективности деятельности РЦИ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е) наличие обязательства субъекта Российской Федерации обеспечить функционирование РЦИ в течение не менее 10 лет со дня его создания за счет средств субсидии.</w:t>
      </w:r>
    </w:p>
    <w:bookmarkStart w:id="670" w:name="P670"/>
    <w:bookmarkEnd w:id="670"/>
    <w:p>
      <w:pPr>
        <w:pStyle w:val="0"/>
        <w:spacing w:before="200" w:lineRule="auto"/>
        <w:ind w:firstLine="540"/>
        <w:jc w:val="both"/>
      </w:pPr>
      <w:r>
        <w:rPr>
          <w:sz w:val="20"/>
        </w:rPr>
        <w:t xml:space="preserve">3.5.4.1. РЦИ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 по вопросам проектного управления, предоставления услуг и инжиниринговой деятельности;</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раздельный бухгалтерский учет по денежным средствам, предоставленным за счет средств бюджетов всех уровней и внебюджетных источников;</w:t>
      </w:r>
    </w:p>
    <w:p>
      <w:pPr>
        <w:pStyle w:val="0"/>
        <w:spacing w:before="200" w:lineRule="auto"/>
        <w:ind w:firstLine="540"/>
        <w:jc w:val="both"/>
      </w:pPr>
      <w:r>
        <w:rPr>
          <w:sz w:val="20"/>
        </w:rPr>
        <w:t xml:space="preserve">г) привлекать в целях осуществления деятельности специализированные организации и квалифицированных специалистов;</w:t>
      </w:r>
    </w:p>
    <w:p>
      <w:pPr>
        <w:pStyle w:val="0"/>
        <w:spacing w:before="200" w:lineRule="auto"/>
        <w:ind w:firstLine="540"/>
        <w:jc w:val="both"/>
      </w:pPr>
      <w:r>
        <w:rPr>
          <w:sz w:val="20"/>
        </w:rPr>
        <w:t xml:space="preserve">д) формировать и актуализировать ежегодно реестр инжиниринговых компаний и их компетенций;</w:t>
      </w:r>
    </w:p>
    <w:p>
      <w:pPr>
        <w:pStyle w:val="0"/>
        <w:spacing w:before="200" w:lineRule="auto"/>
        <w:ind w:firstLine="540"/>
        <w:jc w:val="both"/>
      </w:pPr>
      <w:r>
        <w:rPr>
          <w:sz w:val="20"/>
        </w:rPr>
        <w:t xml:space="preserve">е) осуществлять продвижение информации о деятельности РЦИ и предоставляемых услугах РЦИ, о реализуемых субъектами МСП при содействии РЦИ проектах модернизации, технического перевооружения и (или) создания новых производств и видов продукции совместно с иными инновационно-производственными организациями, образующими инфраструктуру поддержки субъектов МСП, посредством размещения информации в специальном разделе РЦИ на сайте центра "Мой бизнес",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 и организации участия РЦИ в конгрессно-выставочных мероприятиях;</w:t>
      </w:r>
    </w:p>
    <w:p>
      <w:pPr>
        <w:pStyle w:val="0"/>
        <w:spacing w:before="200" w:lineRule="auto"/>
        <w:ind w:firstLine="540"/>
        <w:jc w:val="both"/>
      </w:pPr>
      <w:r>
        <w:rPr>
          <w:sz w:val="20"/>
        </w:rPr>
        <w:t xml:space="preserve">ж) обеспечивать наличие не менее 1 рабочего места для специалистов РЦИ,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 а также специализированным программным обеспечением в области проектного управления, получения и обработки статистических данных в сфере промышленности и инноваций, 3D-моделирования и промышленного 3D-дизайна и другое;</w:t>
      </w:r>
    </w:p>
    <w:p>
      <w:pPr>
        <w:pStyle w:val="0"/>
        <w:spacing w:before="200" w:lineRule="auto"/>
        <w:ind w:firstLine="540"/>
        <w:jc w:val="both"/>
      </w:pPr>
      <w:r>
        <w:rPr>
          <w:sz w:val="20"/>
        </w:rPr>
        <w:t xml:space="preserve">з) обеспечивать наличие специального раздела РЦИ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РЦИ, в том числе с привлечением специализированных организаций и квалифицированных специалистов;</w:t>
      </w:r>
    </w:p>
    <w:p>
      <w:pPr>
        <w:pStyle w:val="0"/>
        <w:spacing w:before="200" w:lineRule="auto"/>
        <w:ind w:firstLine="540"/>
        <w:jc w:val="both"/>
      </w:pPr>
      <w:r>
        <w:rPr>
          <w:sz w:val="20"/>
        </w:rPr>
        <w:t xml:space="preserve">формирование заявления (заявки) о предоставлении услуги РЦИ в форме электронного документа;</w:t>
      </w:r>
    </w:p>
    <w:p>
      <w:pPr>
        <w:pStyle w:val="0"/>
        <w:spacing w:before="200" w:lineRule="auto"/>
        <w:ind w:firstLine="540"/>
        <w:jc w:val="both"/>
      </w:pPr>
      <w:r>
        <w:rPr>
          <w:sz w:val="20"/>
        </w:rPr>
        <w:t xml:space="preserve">размещение информации, в том числе аналитической, публикуемой специализированными организациями и квалифицированными специалистами, привлекаемыми в целях оказания услуг РЦИ инновационно-производственным субъектам МСП;</w:t>
      </w:r>
    </w:p>
    <w:p>
      <w:pPr>
        <w:pStyle w:val="0"/>
        <w:spacing w:before="200" w:lineRule="auto"/>
        <w:ind w:firstLine="540"/>
        <w:jc w:val="both"/>
      </w:pPr>
      <w:r>
        <w:rPr>
          <w:sz w:val="20"/>
        </w:rPr>
        <w:t xml:space="preserve">размещение информации об успешных практиках инновационно-производственных субъектов МСП, получивших поддержку (при наличии);</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РЦИ в электронном виде с использованием ЦП МСП;</w:t>
      </w:r>
    </w:p>
    <w:p>
      <w:pPr>
        <w:pStyle w:val="0"/>
        <w:spacing w:before="200" w:lineRule="auto"/>
        <w:ind w:firstLine="540"/>
        <w:jc w:val="both"/>
      </w:pPr>
      <w:r>
        <w:rPr>
          <w:sz w:val="20"/>
        </w:rPr>
        <w:t xml:space="preserve">и)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к) обеспечивать внесение и актуализацию сведений о РЦИ на ЦП МСП;</w:t>
      </w:r>
    </w:p>
    <w:p>
      <w:pPr>
        <w:pStyle w:val="0"/>
        <w:spacing w:before="200" w:lineRule="auto"/>
        <w:ind w:firstLine="540"/>
        <w:jc w:val="both"/>
      </w:pPr>
      <w:r>
        <w:rPr>
          <w:sz w:val="20"/>
        </w:rPr>
        <w:t xml:space="preserve">л) обеспечивать публикацию на ЦП МСП сведений об услугах (мерах поддержки), в том числе стандартизированных, оказываемых РЦИ, на ЦП МСП;</w:t>
      </w:r>
    </w:p>
    <w:p>
      <w:pPr>
        <w:pStyle w:val="0"/>
        <w:spacing w:before="200" w:lineRule="auto"/>
        <w:ind w:firstLine="540"/>
        <w:jc w:val="both"/>
      </w:pPr>
      <w:r>
        <w:rPr>
          <w:sz w:val="20"/>
        </w:rPr>
        <w:t xml:space="preserve">м) обеспечивать оказание услуг и мер поддержки РЦИ, предоставление которых осуществляется в электронном виде, с использованием ЦП МСП;</w:t>
      </w:r>
    </w:p>
    <w:p>
      <w:pPr>
        <w:pStyle w:val="0"/>
        <w:spacing w:before="200" w:lineRule="auto"/>
        <w:ind w:firstLine="540"/>
        <w:jc w:val="both"/>
      </w:pPr>
      <w:r>
        <w:rPr>
          <w:sz w:val="20"/>
        </w:rPr>
        <w:t xml:space="preserve">н) обеспечивать внесение и актуализацию сведений об оказанных РЦИ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о)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РЦИ в многофункциональных центрах для бизнеса;</w:t>
      </w:r>
    </w:p>
    <w:p>
      <w:pPr>
        <w:pStyle w:val="0"/>
        <w:spacing w:before="200" w:lineRule="auto"/>
        <w:ind w:firstLine="540"/>
        <w:jc w:val="both"/>
      </w:pPr>
      <w:r>
        <w:rPr>
          <w:sz w:val="20"/>
        </w:rPr>
        <w:t xml:space="preserve">п)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 в случае если РЦИ определен в соответствии с настоящими Требованиями в качестве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р)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РЦИ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с) обеспечивать наличие системы мониторинга рабочего времени и простоя оборудования РЦИ;</w:t>
      </w:r>
    </w:p>
    <w:p>
      <w:pPr>
        <w:pStyle w:val="0"/>
        <w:spacing w:before="200" w:lineRule="auto"/>
        <w:ind w:firstLine="540"/>
        <w:jc w:val="both"/>
      </w:pPr>
      <w:r>
        <w:rPr>
          <w:sz w:val="20"/>
        </w:rPr>
        <w:t xml:space="preserve">т) разрабатывать концепцию и (или) бизнес-план развития РЦИ на среднесрочный плановый период (не менее 3 лет) и план деятельности РЦИ на очередной год.</w:t>
      </w:r>
    </w:p>
    <w:p>
      <w:pPr>
        <w:pStyle w:val="0"/>
        <w:spacing w:before="200" w:lineRule="auto"/>
        <w:ind w:firstLine="540"/>
        <w:jc w:val="both"/>
      </w:pPr>
      <w:r>
        <w:rPr>
          <w:sz w:val="20"/>
        </w:rPr>
        <w:t xml:space="preserve">3.5.4.2. РЦИ в рамках деятельности должен обеспечивать:</w:t>
      </w:r>
    </w:p>
    <w:p>
      <w:pPr>
        <w:pStyle w:val="0"/>
        <w:spacing w:before="200" w:lineRule="auto"/>
        <w:ind w:firstLine="540"/>
        <w:jc w:val="both"/>
      </w:pPr>
      <w:r>
        <w:rPr>
          <w:sz w:val="20"/>
        </w:rPr>
        <w:t xml:space="preserve">а) предоставление субъектам МСП консультационных услуг по разработке и реализации проектов модернизации, технического перевооружения и (или) создания новых производств;</w:t>
      </w:r>
    </w:p>
    <w:p>
      <w:pPr>
        <w:pStyle w:val="0"/>
        <w:spacing w:before="200" w:lineRule="auto"/>
        <w:ind w:firstLine="540"/>
        <w:jc w:val="both"/>
      </w:pPr>
      <w:r>
        <w:rPr>
          <w:sz w:val="20"/>
        </w:rPr>
        <w:t xml:space="preserve">б) предоставление инженерно-консультационных, проектно-конструкторских и расчетно-аналитических услуг, разработку технических заданий и конструкторской документации на продукт;</w:t>
      </w:r>
    </w:p>
    <w:p>
      <w:pPr>
        <w:pStyle w:val="0"/>
        <w:spacing w:before="200" w:lineRule="auto"/>
        <w:ind w:firstLine="540"/>
        <w:jc w:val="both"/>
      </w:pPr>
      <w:r>
        <w:rPr>
          <w:sz w:val="20"/>
        </w:rPr>
        <w:t xml:space="preserve">в) оказание содействия по сокращению затрат и повышению производительности труда, цифровизации производств на малых и средних предприятиях, в том числе с применением технологий моделирования и мониторинга, современных методов, средств и технологий управления проектами;</w:t>
      </w:r>
    </w:p>
    <w:p>
      <w:pPr>
        <w:pStyle w:val="0"/>
        <w:spacing w:before="200" w:lineRule="auto"/>
        <w:ind w:firstLine="540"/>
        <w:jc w:val="both"/>
      </w:pPr>
      <w:r>
        <w:rPr>
          <w:sz w:val="20"/>
        </w:rPr>
        <w:t xml:space="preserve">г) оказание содействия или самостоятельной услуги в подготовке технико-экономического обоснования реализации проектов модернизации, технического перевооружения и (или) создания новых производств, декларирования и сертификации, подготовке бизнес-планов и других необходимых документов;</w:t>
      </w:r>
    </w:p>
    <w:p>
      <w:pPr>
        <w:pStyle w:val="0"/>
        <w:spacing w:before="200" w:lineRule="auto"/>
        <w:ind w:firstLine="540"/>
        <w:jc w:val="both"/>
      </w:pPr>
      <w:r>
        <w:rPr>
          <w:sz w:val="20"/>
        </w:rPr>
        <w:t xml:space="preserve">д) проведение аналитических исследований в области определения потребностей и потенциальных возможностей субъектов МСП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pPr>
        <w:pStyle w:val="0"/>
        <w:spacing w:before="200" w:lineRule="auto"/>
        <w:ind w:firstLine="540"/>
        <w:jc w:val="both"/>
      </w:pPr>
      <w:r>
        <w:rPr>
          <w:sz w:val="20"/>
        </w:rPr>
        <w:t xml:space="preserve">е) выявление производственных предприятий из числа субъектов МСП,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p>
    <w:p>
      <w:pPr>
        <w:pStyle w:val="0"/>
        <w:spacing w:before="200" w:lineRule="auto"/>
        <w:ind w:firstLine="540"/>
        <w:jc w:val="both"/>
      </w:pPr>
      <w:r>
        <w:rPr>
          <w:sz w:val="20"/>
        </w:rPr>
        <w:t xml:space="preserve">ж) выявление инжиниринговых компаний и иных организаций 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 в том числе формирование (обновление ежемесячно не позднее 5 рабочих дней со дня обновления единого реестра субъектов МСП) реестра инжиниринговых компаний;</w:t>
      </w:r>
    </w:p>
    <w:p>
      <w:pPr>
        <w:pStyle w:val="0"/>
        <w:spacing w:before="200" w:lineRule="auto"/>
        <w:ind w:firstLine="540"/>
        <w:jc w:val="both"/>
      </w:pPr>
      <w:r>
        <w:rPr>
          <w:sz w:val="20"/>
        </w:rPr>
        <w:t xml:space="preserve">з) привлечение инжиниринговых компаний - субъектов МСП к реализации проектов модернизации, цифровизации, технического перевооружения и (или) создания новых производств (продуктов);</w:t>
      </w:r>
    </w:p>
    <w:p>
      <w:pPr>
        <w:pStyle w:val="0"/>
        <w:spacing w:before="200" w:lineRule="auto"/>
        <w:ind w:firstLine="540"/>
        <w:jc w:val="both"/>
      </w:pPr>
      <w:r>
        <w:rPr>
          <w:sz w:val="20"/>
        </w:rPr>
        <w:t xml:space="preserve">и) продвижение инжиниринговых компаний, относящихся к категории МСП, и их продукции (услуг) на российские и международные рынки;</w:t>
      </w:r>
    </w:p>
    <w:p>
      <w:pPr>
        <w:pStyle w:val="0"/>
        <w:spacing w:before="200" w:lineRule="auto"/>
        <w:ind w:firstLine="540"/>
        <w:jc w:val="both"/>
      </w:pPr>
      <w:r>
        <w:rPr>
          <w:sz w:val="20"/>
        </w:rPr>
        <w:t xml:space="preserve">к) привлечение инжиниринговых компаний, относящихся к категории МСП, в проекты, выполняемые с участием зарубежных инжиниринговых компаний, а также крупных российских производственных компаний, имеющих инжиниринговое подразделение;</w:t>
      </w:r>
    </w:p>
    <w:p>
      <w:pPr>
        <w:pStyle w:val="0"/>
        <w:spacing w:before="200" w:lineRule="auto"/>
        <w:ind w:firstLine="540"/>
        <w:jc w:val="both"/>
      </w:pPr>
      <w:r>
        <w:rPr>
          <w:sz w:val="20"/>
        </w:rPr>
        <w:t xml:space="preserve">л) оказание содействия в подготовке, переподготовке и повышении квалификации кадров для субъектов МСП в рамках проектного управления, акселерационных программ, а также в рамках проектов по модернизации, техническому перевооружению и (или) созданию новых, в том числе высокотехнологичных (инновационных), производств;</w:t>
      </w:r>
    </w:p>
    <w:p>
      <w:pPr>
        <w:pStyle w:val="0"/>
        <w:spacing w:before="200" w:lineRule="auto"/>
        <w:ind w:firstLine="540"/>
        <w:jc w:val="both"/>
      </w:pPr>
      <w:r>
        <w:rPr>
          <w:sz w:val="20"/>
        </w:rPr>
        <w:t xml:space="preserve">м) осуществление подготовки для субъектов МСП стандартов и методических рекомендаций по применению технологий управления проектами в различных областях деятельности;</w:t>
      </w:r>
    </w:p>
    <w:p>
      <w:pPr>
        <w:pStyle w:val="0"/>
        <w:spacing w:before="200" w:lineRule="auto"/>
        <w:ind w:firstLine="540"/>
        <w:jc w:val="both"/>
      </w:pPr>
      <w:r>
        <w:rPr>
          <w:sz w:val="20"/>
        </w:rPr>
        <w:t xml:space="preserve">н) организацию обучения, стажировок и повышения квалификации руководителей и сотрудников РЦИ;</w:t>
      </w:r>
    </w:p>
    <w:p>
      <w:pPr>
        <w:pStyle w:val="0"/>
        <w:spacing w:before="200" w:lineRule="auto"/>
        <w:ind w:firstLine="540"/>
        <w:jc w:val="both"/>
      </w:pPr>
      <w:r>
        <w:rPr>
          <w:sz w:val="20"/>
        </w:rPr>
        <w:t xml:space="preserve">о) содействие в правовой охране и защите результатов интеллектуальной деятельности и приравненных к ним средств индивидуализации юридических лиц, товаров, работ, услуг и предприятий;</w:t>
      </w:r>
    </w:p>
    <w:p>
      <w:pPr>
        <w:pStyle w:val="0"/>
        <w:spacing w:before="200" w:lineRule="auto"/>
        <w:ind w:firstLine="540"/>
        <w:jc w:val="both"/>
      </w:pPr>
      <w:r>
        <w:rPr>
          <w:sz w:val="20"/>
        </w:rPr>
        <w:t xml:space="preserve">п) продвижение информации об услугах РЦИ,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р) направление в единый орган управления организациями, образующими инфраструктуру поддержки субъектов МСП, ежеквартально, в срок не позднее 10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РЦИ,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713" w:name="P713"/>
    <w:bookmarkEnd w:id="713"/>
    <w:p>
      <w:pPr>
        <w:pStyle w:val="0"/>
        <w:spacing w:before="200" w:lineRule="auto"/>
        <w:ind w:firstLine="540"/>
        <w:jc w:val="both"/>
      </w:pPr>
      <w:r>
        <w:rPr>
          <w:sz w:val="20"/>
        </w:rPr>
        <w:t xml:space="preserve">3.5.4.3.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МСП следующих услуг:</w:t>
      </w:r>
    </w:p>
    <w:bookmarkStart w:id="714" w:name="P714"/>
    <w:bookmarkEnd w:id="714"/>
    <w:p>
      <w:pPr>
        <w:pStyle w:val="0"/>
        <w:spacing w:before="200" w:lineRule="auto"/>
        <w:ind w:firstLine="540"/>
        <w:jc w:val="both"/>
      </w:pPr>
      <w:r>
        <w:rPr>
          <w:sz w:val="20"/>
        </w:rPr>
        <w:t xml:space="preserve">а) услуга скоринга;</w:t>
      </w:r>
    </w:p>
    <w:bookmarkStart w:id="715" w:name="P715"/>
    <w:bookmarkEnd w:id="715"/>
    <w:p>
      <w:pPr>
        <w:pStyle w:val="0"/>
        <w:spacing w:before="200" w:lineRule="auto"/>
        <w:ind w:firstLine="540"/>
        <w:jc w:val="both"/>
      </w:pPr>
      <w:r>
        <w:rPr>
          <w:sz w:val="20"/>
        </w:rPr>
        <w:t xml:space="preserve">б) консультирование об услугах РЦИ в том числе в формате семинара, вебинара, круглого стола;</w:t>
      </w:r>
    </w:p>
    <w:p>
      <w:pPr>
        <w:pStyle w:val="0"/>
        <w:spacing w:before="200" w:lineRule="auto"/>
        <w:ind w:firstLine="540"/>
        <w:jc w:val="both"/>
      </w:pPr>
      <w:r>
        <w:rPr>
          <w:sz w:val="20"/>
        </w:rPr>
        <w:t xml:space="preserve">в) определение индекса технологической готовности;</w:t>
      </w:r>
    </w:p>
    <w:p>
      <w:pPr>
        <w:pStyle w:val="0"/>
        <w:spacing w:before="200" w:lineRule="auto"/>
        <w:ind w:firstLine="540"/>
        <w:jc w:val="both"/>
      </w:pPr>
      <w:r>
        <w:rPr>
          <w:sz w:val="20"/>
        </w:rPr>
        <w:t xml:space="preserve">г)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p>
      <w:pPr>
        <w:pStyle w:val="0"/>
        <w:spacing w:before="200" w:lineRule="auto"/>
        <w:ind w:firstLine="540"/>
        <w:jc w:val="both"/>
      </w:pPr>
      <w:r>
        <w:rPr>
          <w:sz w:val="20"/>
        </w:rPr>
        <w:t xml:space="preserve">д) проведение финансового или управленческого аудита;</w:t>
      </w:r>
    </w:p>
    <w:p>
      <w:pPr>
        <w:pStyle w:val="0"/>
        <w:spacing w:before="200" w:lineRule="auto"/>
        <w:ind w:firstLine="540"/>
        <w:jc w:val="both"/>
      </w:pPr>
      <w:r>
        <w:rPr>
          <w:sz w:val="20"/>
        </w:rPr>
        <w:t xml:space="preserve">е) консультирование по вопросам технического управления производством, снижения себестоимости производственных процессов и (или) 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консультирование в области организации и развития производства;</w:t>
      </w:r>
    </w:p>
    <w:p>
      <w:pPr>
        <w:pStyle w:val="0"/>
        <w:spacing w:before="200" w:lineRule="auto"/>
        <w:ind w:firstLine="540"/>
        <w:jc w:val="both"/>
      </w:pPr>
      <w:r>
        <w:rPr>
          <w:sz w:val="20"/>
        </w:rPr>
        <w:t xml:space="preserve">ж) разработка технических решений (проектов, планов) и оказание содействия в вопросах технического управления производством, снижения себестоимости производственных процессов и (или) 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консультирование в области организации и развития производства;</w:t>
      </w:r>
    </w:p>
    <w:p>
      <w:pPr>
        <w:pStyle w:val="0"/>
        <w:spacing w:before="200" w:lineRule="auto"/>
        <w:ind w:firstLine="540"/>
        <w:jc w:val="both"/>
      </w:pPr>
      <w:r>
        <w:rPr>
          <w:sz w:val="20"/>
        </w:rPr>
        <w:t xml:space="preserve">з) консультирование и оказание содействия в привлечении услуг по внедрению цифровизации производственных процессов на предприятиях;</w:t>
      </w:r>
    </w:p>
    <w:p>
      <w:pPr>
        <w:pStyle w:val="0"/>
        <w:spacing w:before="200" w:lineRule="auto"/>
        <w:ind w:firstLine="540"/>
        <w:jc w:val="both"/>
      </w:pPr>
      <w:r>
        <w:rPr>
          <w:sz w:val="20"/>
        </w:rPr>
        <w:t xml:space="preserve">и) разработка технических решений (проектов, планов) по внедрению цифровизации производственных процессов на предприятиях;</w:t>
      </w:r>
    </w:p>
    <w:p>
      <w:pPr>
        <w:pStyle w:val="0"/>
        <w:spacing w:before="200" w:lineRule="auto"/>
        <w:ind w:firstLine="540"/>
        <w:jc w:val="both"/>
      </w:pPr>
      <w:r>
        <w:rPr>
          <w:sz w:val="20"/>
        </w:rPr>
        <w:t xml:space="preserve">к)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pPr>
        <w:pStyle w:val="0"/>
        <w:spacing w:before="200" w:lineRule="auto"/>
        <w:ind w:firstLine="540"/>
        <w:jc w:val="both"/>
      </w:pPr>
      <w:r>
        <w:rPr>
          <w:sz w:val="20"/>
        </w:rPr>
        <w:t xml:space="preserve">л) 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pPr>
        <w:pStyle w:val="0"/>
        <w:spacing w:before="200" w:lineRule="auto"/>
        <w:ind w:firstLine="540"/>
        <w:jc w:val="both"/>
      </w:pPr>
      <w:r>
        <w:rPr>
          <w:sz w:val="20"/>
        </w:rPr>
        <w:t xml:space="preserve">м)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pPr>
        <w:pStyle w:val="0"/>
        <w:spacing w:before="200" w:lineRule="auto"/>
        <w:ind w:firstLine="540"/>
        <w:jc w:val="both"/>
      </w:pPr>
      <w:r>
        <w:rPr>
          <w:sz w:val="20"/>
        </w:rPr>
        <w:t xml:space="preserve">н) содействие в разработке программ модернизации, технического перевооружения и (или) развития производства;</w:t>
      </w:r>
    </w:p>
    <w:p>
      <w:pPr>
        <w:pStyle w:val="0"/>
        <w:spacing w:before="200" w:lineRule="auto"/>
        <w:ind w:firstLine="540"/>
        <w:jc w:val="both"/>
      </w:pPr>
      <w:r>
        <w:rPr>
          <w:sz w:val="20"/>
        </w:rPr>
        <w:t xml:space="preserve">о) разработка бизнес-планов, технических заданий, технико-экономических обоснований;</w:t>
      </w:r>
    </w:p>
    <w:p>
      <w:pPr>
        <w:pStyle w:val="0"/>
        <w:spacing w:before="200" w:lineRule="auto"/>
        <w:ind w:firstLine="540"/>
        <w:jc w:val="both"/>
      </w:pPr>
      <w:r>
        <w:rPr>
          <w:sz w:val="20"/>
        </w:rPr>
        <w:t xml:space="preserve">п) анализ потенциала малых и средних предприятий, выявление текущих потребностей и проблем предприятий, влияющих на их конкурентоспособность, в том числе в целях включения в программы развития поставщиков (исполнителей, подрядчиков) и мероприятия по повышению производительности труда, а также в целях их потенциального участия в закупках товаров (работ, услуг), предусмотренных </w:t>
      </w:r>
      <w:hyperlink w:history="0" r:id="rId66"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статьей 16.1</w:t>
        </w:r>
      </w:hyperlink>
      <w:r>
        <w:rPr>
          <w:sz w:val="20"/>
        </w:rPr>
        <w:t xml:space="preserve"> Федерального закона N 209-ФЗ;</w:t>
      </w:r>
    </w:p>
    <w:p>
      <w:pPr>
        <w:pStyle w:val="0"/>
        <w:spacing w:before="200" w:lineRule="auto"/>
        <w:ind w:firstLine="540"/>
        <w:jc w:val="both"/>
      </w:pPr>
      <w:r>
        <w:rPr>
          <w:sz w:val="20"/>
        </w:rPr>
        <w:t xml:space="preserve">р)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p>
      <w:pPr>
        <w:pStyle w:val="0"/>
        <w:spacing w:before="200" w:lineRule="auto"/>
        <w:ind w:firstLine="540"/>
        <w:jc w:val="both"/>
      </w:pPr>
      <w:r>
        <w:rPr>
          <w:sz w:val="20"/>
        </w:rPr>
        <w:t xml:space="preserve">с)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 и товаров предприятий в целях выхода на внутренние и зарубежные рынки, рынки крупных заказчиков;</w:t>
      </w:r>
    </w:p>
    <w:p>
      <w:pPr>
        <w:pStyle w:val="0"/>
        <w:spacing w:before="200" w:lineRule="auto"/>
        <w:ind w:firstLine="540"/>
        <w:jc w:val="both"/>
      </w:pPr>
      <w:r>
        <w:rPr>
          <w:sz w:val="20"/>
        </w:rPr>
        <w:t xml:space="preserve">т) оценка потенциала импортозамещения;</w:t>
      </w:r>
    </w:p>
    <w:bookmarkStart w:id="732" w:name="P732"/>
    <w:bookmarkEnd w:id="732"/>
    <w:p>
      <w:pPr>
        <w:pStyle w:val="0"/>
        <w:spacing w:before="200" w:lineRule="auto"/>
        <w:ind w:firstLine="540"/>
        <w:jc w:val="both"/>
      </w:pPr>
      <w:r>
        <w:rPr>
          <w:sz w:val="20"/>
        </w:rPr>
        <w:t xml:space="preserve">у)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pPr>
        <w:pStyle w:val="0"/>
        <w:spacing w:before="200" w:lineRule="auto"/>
        <w:ind w:firstLine="540"/>
        <w:jc w:val="both"/>
      </w:pPr>
      <w:r>
        <w:rPr>
          <w:sz w:val="20"/>
        </w:rPr>
        <w:t xml:space="preserve">ф) 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в субъектах Российской Федерации.</w:t>
      </w:r>
    </w:p>
    <w:p>
      <w:pPr>
        <w:pStyle w:val="0"/>
        <w:spacing w:before="200" w:lineRule="auto"/>
        <w:ind w:firstLine="540"/>
        <w:jc w:val="both"/>
      </w:pPr>
      <w:r>
        <w:rPr>
          <w:sz w:val="20"/>
        </w:rPr>
        <w:t xml:space="preserve">3.5.4.4. Услуги РЦИ, указанные в </w:t>
      </w:r>
      <w:hyperlink w:history="0" w:anchor="P713" w:tooltip="3.5.4.3.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СП следующих услуг:">
        <w:r>
          <w:rPr>
            <w:sz w:val="20"/>
            <w:color w:val="0000ff"/>
          </w:rPr>
          <w:t xml:space="preserve">подпункте 3.5.4.3 пункта 3</w:t>
        </w:r>
      </w:hyperlink>
      <w:r>
        <w:rPr>
          <w:sz w:val="20"/>
        </w:rPr>
        <w:t xml:space="preserve"> настоящих Требований, должны предоставляться субъектам МСП на полностью или частично платной основе или на бесплатной основе (за исключением услуг РЦИ, указанных в </w:t>
      </w:r>
      <w:hyperlink w:history="0" w:anchor="P714" w:tooltip="а) услуга скоринга;">
        <w:r>
          <w:rPr>
            <w:sz w:val="20"/>
            <w:color w:val="0000ff"/>
          </w:rPr>
          <w:t xml:space="preserve">подпунктах "а"</w:t>
        </w:r>
      </w:hyperlink>
      <w:r>
        <w:rPr>
          <w:sz w:val="20"/>
        </w:rPr>
        <w:t xml:space="preserve"> и </w:t>
      </w:r>
      <w:hyperlink w:history="0" w:anchor="P715" w:tooltip="б) консультирование об услугах РЦИ в том числе в формате семинара, вебинара, круглого стола;">
        <w:r>
          <w:rPr>
            <w:sz w:val="20"/>
            <w:color w:val="0000ff"/>
          </w:rPr>
          <w:t xml:space="preserve">"б" подпункта 3.5.4.3 пункта 3</w:t>
        </w:r>
      </w:hyperlink>
      <w:r>
        <w:rPr>
          <w:sz w:val="20"/>
        </w:rPr>
        <w:t xml:space="preserve"> настоящих Требований, которые предоставляются субъектам МСП на бесплатной основе) в соответствии с регламентом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РЦИ вправе предоставлять услуги, указанные в </w:t>
      </w:r>
      <w:hyperlink w:history="0" w:anchor="P713" w:tooltip="3.5.4.3.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СП следующих услуг:">
        <w:r>
          <w:rPr>
            <w:sz w:val="20"/>
            <w:color w:val="0000ff"/>
          </w:rPr>
          <w:t xml:space="preserve">подпункте 3.5.4.3 пункта 3</w:t>
        </w:r>
      </w:hyperlink>
      <w:r>
        <w:rPr>
          <w:sz w:val="20"/>
        </w:rPr>
        <w:t xml:space="preserve"> настоящих Требований, иным организациям на платной основе.</w:t>
      </w:r>
    </w:p>
    <w:p>
      <w:pPr>
        <w:pStyle w:val="0"/>
        <w:spacing w:before="200" w:lineRule="auto"/>
        <w:ind w:firstLine="540"/>
        <w:jc w:val="both"/>
      </w:pPr>
      <w:r>
        <w:rPr>
          <w:sz w:val="20"/>
        </w:rPr>
        <w:t xml:space="preserve">3.5.4.5. При привлечении сторонних организаций в процессе проведения отбора поставщиков услуг РЦИ должен запрашивать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00" w:lineRule="auto"/>
        <w:ind w:firstLine="540"/>
        <w:jc w:val="both"/>
      </w:pPr>
      <w:r>
        <w:rPr>
          <w:sz w:val="20"/>
        </w:rPr>
        <w:t xml:space="preserve">3.5.4.6. При организации РЦИ семинаров, вебинаров, круглых столов должны соблюдаться следующие требования:</w:t>
      </w:r>
    </w:p>
    <w:p>
      <w:pPr>
        <w:pStyle w:val="0"/>
        <w:spacing w:before="200" w:lineRule="auto"/>
        <w:ind w:firstLine="540"/>
        <w:jc w:val="both"/>
      </w:pPr>
      <w:r>
        <w:rPr>
          <w:sz w:val="20"/>
        </w:rPr>
        <w:t xml:space="preserve">а) количество участников семинаров, вебинаров, круглых столов должно быть не менее 10, не менее 2/3 из которых составляют представители субъектов МСП;</w:t>
      </w:r>
    </w:p>
    <w:p>
      <w:pPr>
        <w:pStyle w:val="0"/>
        <w:spacing w:before="200" w:lineRule="auto"/>
        <w:ind w:firstLine="540"/>
        <w:jc w:val="both"/>
      </w:pPr>
      <w:r>
        <w:rPr>
          <w:sz w:val="20"/>
        </w:rPr>
        <w:t xml:space="preserve">б) количество участников круглого стола должно быть от 20 до 50, не менее 2/3 из которых составляют представители субъектов МСП;</w:t>
      </w:r>
    </w:p>
    <w:p>
      <w:pPr>
        <w:pStyle w:val="0"/>
        <w:spacing w:before="200" w:lineRule="auto"/>
        <w:ind w:firstLine="540"/>
        <w:jc w:val="both"/>
      </w:pPr>
      <w:r>
        <w:rPr>
          <w:sz w:val="20"/>
        </w:rPr>
        <w:t xml:space="preserve">в) в случае, если организация семинаров, вебинаров, круглых столов проводится по заявке субъекта МСП и (или) иных организаций, такая услуга предоставляется на полностью или частично платной основе.</w:t>
      </w:r>
    </w:p>
    <w:p>
      <w:pPr>
        <w:pStyle w:val="0"/>
        <w:spacing w:before="200" w:lineRule="auto"/>
        <w:ind w:firstLine="540"/>
        <w:jc w:val="both"/>
      </w:pPr>
      <w:r>
        <w:rPr>
          <w:sz w:val="20"/>
        </w:rPr>
        <w:t xml:space="preserve">3.5.4.7. Руководитель РЦИ должен соответствовать следующим требованиям:</w:t>
      </w:r>
    </w:p>
    <w:p>
      <w:pPr>
        <w:pStyle w:val="0"/>
        <w:spacing w:before="200" w:lineRule="auto"/>
        <w:ind w:firstLine="540"/>
        <w:jc w:val="both"/>
      </w:pPr>
      <w:r>
        <w:rPr>
          <w:sz w:val="20"/>
        </w:rPr>
        <w:t xml:space="preserve">а) иметь гражданство Российской Федерации;</w:t>
      </w:r>
    </w:p>
    <w:p>
      <w:pPr>
        <w:pStyle w:val="0"/>
        <w:spacing w:before="200" w:lineRule="auto"/>
        <w:ind w:firstLine="540"/>
        <w:jc w:val="both"/>
      </w:pPr>
      <w:r>
        <w:rPr>
          <w:sz w:val="20"/>
        </w:rPr>
        <w:t xml:space="preserve">б) иметь высшее инженерное, или финансовое, или экономическое образование (наличие высшего профессионального (технического, инженерно-экономического) образования), которое подтверждается документом о соответствующем высшем образовании, признаваемым на территории Российской Федерации;</w:t>
      </w:r>
    </w:p>
    <w:p>
      <w:pPr>
        <w:pStyle w:val="0"/>
        <w:spacing w:before="200" w:lineRule="auto"/>
        <w:ind w:firstLine="540"/>
        <w:jc w:val="both"/>
      </w:pPr>
      <w:r>
        <w:rPr>
          <w:sz w:val="20"/>
        </w:rPr>
        <w:t xml:space="preserve">в) наличие опыта работы на руководящих должностях не менее 5 лет или опыт работы в РЦИ или других организациях инновационно-производственной направленности не менее 3 лет;</w:t>
      </w:r>
    </w:p>
    <w:p>
      <w:pPr>
        <w:pStyle w:val="0"/>
        <w:spacing w:before="200" w:lineRule="auto"/>
        <w:ind w:firstLine="540"/>
        <w:jc w:val="both"/>
      </w:pPr>
      <w:r>
        <w:rPr>
          <w:sz w:val="20"/>
        </w:rPr>
        <w:t xml:space="preserve">г) опыт реализации технологических и инвестиционных проектов, в том числе проектов в сфере инжиниринга, инноваций, а также опыт работы с технологическим оборудованием;</w:t>
      </w:r>
    </w:p>
    <w:p>
      <w:pPr>
        <w:pStyle w:val="0"/>
        <w:spacing w:before="200" w:lineRule="auto"/>
        <w:ind w:firstLine="540"/>
        <w:jc w:val="both"/>
      </w:pPr>
      <w:r>
        <w:rPr>
          <w:sz w:val="20"/>
        </w:rPr>
        <w:t xml:space="preserve">д) наличие удостоверений, подтверждающих ежегодное прохождение повышения квалификации или стажировок, в том числе в сфере проектного управления.</w:t>
      </w:r>
    </w:p>
    <w:p>
      <w:pPr>
        <w:pStyle w:val="0"/>
        <w:spacing w:before="200" w:lineRule="auto"/>
        <w:ind w:firstLine="540"/>
        <w:jc w:val="both"/>
      </w:pPr>
      <w:r>
        <w:rPr>
          <w:sz w:val="20"/>
        </w:rPr>
        <w:t xml:space="preserve">3.5.4.8. РЦИ должен иметь в штате или привлекать сторонних квалифицированных специалистов, имеющих навыки и опыт работы на технологическом оборудовании, в том числе инженеров-конструкторов, технологов, иных специалистов в сфере опытно-конструкторской и научно-исследовательской деятельности, а также специалистов в области коммерциализации и продвижения полученных результатов деятельности (товаров, услуг, разработок).</w:t>
      </w:r>
    </w:p>
    <w:p>
      <w:pPr>
        <w:pStyle w:val="0"/>
        <w:spacing w:before="200" w:lineRule="auto"/>
        <w:ind w:firstLine="540"/>
        <w:jc w:val="both"/>
      </w:pPr>
      <w:r>
        <w:rPr>
          <w:sz w:val="20"/>
        </w:rPr>
        <w:t xml:space="preserve">3.5.4.9. РЦИ должен обеспечивать на постоянной основе размещение и ежемесячное обновление (актуализацию) в специальном разделе РЦИ на сайте центра "Мой бизнес" следующей информации:</w:t>
      </w:r>
    </w:p>
    <w:p>
      <w:pPr>
        <w:pStyle w:val="0"/>
        <w:spacing w:before="200" w:lineRule="auto"/>
        <w:ind w:firstLine="540"/>
        <w:jc w:val="both"/>
      </w:pPr>
      <w:r>
        <w:rPr>
          <w:sz w:val="20"/>
        </w:rPr>
        <w:t xml:space="preserve">а) сведения об учредителях РЦИ (юридического лица, структурным подразделением которого является РЦИ);</w:t>
      </w:r>
    </w:p>
    <w:p>
      <w:pPr>
        <w:pStyle w:val="0"/>
        <w:spacing w:before="200" w:lineRule="auto"/>
        <w:ind w:firstLine="540"/>
        <w:jc w:val="both"/>
      </w:pPr>
      <w:r>
        <w:rPr>
          <w:sz w:val="20"/>
        </w:rPr>
        <w:t xml:space="preserve">б) сведения о деятельности РЦИ, о его целях и задачах и оказываемых им услугах, в том числе стоимости предоставляемых услуг;</w:t>
      </w:r>
    </w:p>
    <w:p>
      <w:pPr>
        <w:pStyle w:val="0"/>
        <w:spacing w:before="200" w:lineRule="auto"/>
        <w:ind w:firstLine="540"/>
        <w:jc w:val="both"/>
      </w:pPr>
      <w:r>
        <w:rPr>
          <w:sz w:val="20"/>
        </w:rPr>
        <w:t xml:space="preserve">в) годовые отчеты о деятельности РЦИ за предыдущие периоды со дня его создания;</w:t>
      </w:r>
    </w:p>
    <w:p>
      <w:pPr>
        <w:pStyle w:val="0"/>
        <w:spacing w:before="200" w:lineRule="auto"/>
        <w:ind w:firstLine="540"/>
        <w:jc w:val="both"/>
      </w:pPr>
      <w:r>
        <w:rPr>
          <w:sz w:val="20"/>
        </w:rPr>
        <w:t xml:space="preserve">г) разработанные программы развития РЦИ, стратегии развития РЦИ, бизнес-планы развития РЦИ;</w:t>
      </w:r>
    </w:p>
    <w:p>
      <w:pPr>
        <w:pStyle w:val="0"/>
        <w:spacing w:before="200" w:lineRule="auto"/>
        <w:ind w:firstLine="540"/>
        <w:jc w:val="both"/>
      </w:pPr>
      <w:r>
        <w:rPr>
          <w:sz w:val="20"/>
        </w:rPr>
        <w:t xml:space="preserve">д) сведения о составе, технических характеристиках и условиях доступа к высокотехнологичному оборудованию РЦИ (при наличии такого оборудования на балансе РЦИ или центра "Мой бизнес");</w:t>
      </w:r>
    </w:p>
    <w:p>
      <w:pPr>
        <w:pStyle w:val="0"/>
        <w:spacing w:before="200" w:lineRule="auto"/>
        <w:ind w:firstLine="540"/>
        <w:jc w:val="both"/>
      </w:pPr>
      <w:r>
        <w:rPr>
          <w:sz w:val="20"/>
        </w:rPr>
        <w:t xml:space="preserve">е) графики встреч, заседаний рабочих групп, совещаний партнеров РЦИ;</w:t>
      </w:r>
    </w:p>
    <w:p>
      <w:pPr>
        <w:pStyle w:val="0"/>
        <w:spacing w:before="200" w:lineRule="auto"/>
        <w:ind w:firstLine="540"/>
        <w:jc w:val="both"/>
      </w:pPr>
      <w:r>
        <w:rPr>
          <w:sz w:val="20"/>
        </w:rPr>
        <w:t xml:space="preserve">ж) сведения о внедренных инновационных решениях, технологиях в проектах субъектов МСП;</w:t>
      </w:r>
    </w:p>
    <w:p>
      <w:pPr>
        <w:pStyle w:val="0"/>
        <w:spacing w:before="200" w:lineRule="auto"/>
        <w:ind w:firstLine="540"/>
        <w:jc w:val="both"/>
      </w:pPr>
      <w:r>
        <w:rPr>
          <w:sz w:val="20"/>
        </w:rPr>
        <w:t xml:space="preserve">з) сведения о новых технологиях, которые могут быть использованы для повышения технологической готовности и конкурентоспособности субъектов МСП;</w:t>
      </w:r>
    </w:p>
    <w:p>
      <w:pPr>
        <w:pStyle w:val="0"/>
        <w:spacing w:before="200" w:lineRule="auto"/>
        <w:ind w:firstLine="540"/>
        <w:jc w:val="both"/>
      </w:pPr>
      <w:r>
        <w:rPr>
          <w:sz w:val="20"/>
        </w:rPr>
        <w:t xml:space="preserve">и) сведения о стоимости платных услуг, предоставляемых РЦИ;</w:t>
      </w:r>
    </w:p>
    <w:p>
      <w:pPr>
        <w:pStyle w:val="0"/>
        <w:spacing w:before="200" w:lineRule="auto"/>
        <w:ind w:firstLine="540"/>
        <w:jc w:val="both"/>
      </w:pPr>
      <w:r>
        <w:rPr>
          <w:sz w:val="20"/>
        </w:rPr>
        <w:t xml:space="preserve">к) сведения об успешных практиках инновационно-производственных субъектов МСП, получивших поддержку (при наличии).</w:t>
      </w:r>
    </w:p>
    <w:p>
      <w:pPr>
        <w:pStyle w:val="0"/>
        <w:spacing w:before="200" w:lineRule="auto"/>
        <w:ind w:firstLine="540"/>
        <w:jc w:val="both"/>
      </w:pPr>
      <w:r>
        <w:rPr>
          <w:sz w:val="20"/>
        </w:rPr>
        <w:t xml:space="preserve">3.5.4.10. РЦИ должен на постоянной основе проводить информационные кампании в средствах массовой информации по освещению реализуемых субъектами МСП проектов модернизации и (или) создания новых производств и видов продукции.</w:t>
      </w:r>
    </w:p>
    <w:p>
      <w:pPr>
        <w:pStyle w:val="0"/>
        <w:spacing w:before="200" w:lineRule="auto"/>
        <w:ind w:firstLine="540"/>
        <w:jc w:val="both"/>
      </w:pPr>
      <w:r>
        <w:rPr>
          <w:sz w:val="20"/>
        </w:rPr>
        <w:t xml:space="preserve">3.5.4.11. РЦИ должен взаимодействовать в интересах субъектов МСП с органами государственной власти, органами местного самоуправления, единым органом управления организациями, образующими инфраструктуру поддержки субъектов МСП, банками и другими кредитными организациями, промышленными предприятиями, институтами развития,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pPr>
        <w:pStyle w:val="0"/>
        <w:spacing w:before="200" w:lineRule="auto"/>
        <w:ind w:firstLine="540"/>
        <w:jc w:val="both"/>
      </w:pPr>
      <w:r>
        <w:rPr>
          <w:sz w:val="20"/>
        </w:rPr>
        <w:t xml:space="preserve">3.5.4.12. На базе помещений РЦИ или других объектов инфраструктуры поддержки субъектов МСП на безвозмездной основе должны проводиться встречи для субъектов МСП, заинтересованных в получении услуг РЦИ.</w:t>
      </w:r>
    </w:p>
    <w:p>
      <w:pPr>
        <w:pStyle w:val="0"/>
        <w:spacing w:before="200" w:lineRule="auto"/>
        <w:ind w:firstLine="540"/>
        <w:jc w:val="both"/>
      </w:pPr>
      <w:r>
        <w:rPr>
          <w:sz w:val="20"/>
        </w:rPr>
        <w:t xml:space="preserve">3.5.4.13. РЦИ должен ежеквартально проводить мониторинг малых и средних инжиниринговых компаний, находящихся в субъекте Российской Федерации, и представлять в Минэкономразвития России информацию для формирования (обновления) реестра малых инжиниринговых компаний.</w:t>
      </w:r>
    </w:p>
    <w:bookmarkStart w:id="763" w:name="P763"/>
    <w:bookmarkEnd w:id="763"/>
    <w:p>
      <w:pPr>
        <w:pStyle w:val="0"/>
        <w:spacing w:before="200" w:lineRule="auto"/>
        <w:ind w:firstLine="540"/>
        <w:jc w:val="both"/>
      </w:pPr>
      <w:r>
        <w:rPr>
          <w:sz w:val="20"/>
        </w:rPr>
        <w:t xml:space="preserve">3.5.4.14. В случае если РЦИ осуществляет деятельность, предусмотренную </w:t>
      </w:r>
      <w:hyperlink w:history="0" w:anchor="P732" w:tooltip="у)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
        <w:r>
          <w:rPr>
            <w:sz w:val="20"/>
            <w:color w:val="0000ff"/>
          </w:rPr>
          <w:t xml:space="preserve">подпунктом "у" подпункта 3.5.4.3 пункта 3</w:t>
        </w:r>
      </w:hyperlink>
      <w:r>
        <w:rPr>
          <w:sz w:val="20"/>
        </w:rPr>
        <w:t xml:space="preserve"> настоящих Требований с использованием приобретенного за средства субсидии оборудования, к РЦИ также предъявляются следующие требования:</w:t>
      </w:r>
    </w:p>
    <w:p>
      <w:pPr>
        <w:pStyle w:val="0"/>
        <w:spacing w:before="200" w:lineRule="auto"/>
        <w:ind w:firstLine="540"/>
        <w:jc w:val="both"/>
      </w:pPr>
      <w:r>
        <w:rPr>
          <w:sz w:val="20"/>
        </w:rPr>
        <w:t xml:space="preserve">а) наличие парка высокотехнологичного, проектно-конструкторского и научно-исследовательского оборудования, предусматривающего в том числе наличие системы мониторинга рабочего времени и простоя такого оборудования и программ для электронных вычислительных машин, в том числе программы инвестиционного анализа и управления проектами;</w:t>
      </w:r>
    </w:p>
    <w:p>
      <w:pPr>
        <w:pStyle w:val="0"/>
        <w:spacing w:before="200" w:lineRule="auto"/>
        <w:ind w:firstLine="540"/>
        <w:jc w:val="both"/>
      </w:pPr>
      <w:r>
        <w:rPr>
          <w:sz w:val="20"/>
        </w:rPr>
        <w:t xml:space="preserve">б) наличие штата высококвалифицированных специалистов, имеющих навыки и опыт работы с технологическим оборудованием: инженеров-конструкторов, технологов, иных специалистов в сфере опытно-конструкторской и научно-исследовательской деятельности;</w:t>
      </w:r>
    </w:p>
    <w:p>
      <w:pPr>
        <w:pStyle w:val="0"/>
        <w:spacing w:before="200" w:lineRule="auto"/>
        <w:ind w:firstLine="540"/>
        <w:jc w:val="both"/>
      </w:pPr>
      <w:r>
        <w:rPr>
          <w:sz w:val="20"/>
        </w:rPr>
        <w:t xml:space="preserve">в) наличие комплекса административно-производственных площадей для размещения парка высокотехнологичного оборудования (при наличии такого оборудования).</w:t>
      </w:r>
    </w:p>
    <w:p>
      <w:pPr>
        <w:pStyle w:val="0"/>
        <w:spacing w:before="200" w:lineRule="auto"/>
        <w:ind w:firstLine="540"/>
        <w:jc w:val="both"/>
      </w:pPr>
      <w:r>
        <w:rPr>
          <w:sz w:val="20"/>
        </w:rPr>
        <w:t xml:space="preserve">3.5.5. Требованиями к предоставлению субсидии на создание и (или) развитие центров прототипирования являются:</w:t>
      </w:r>
    </w:p>
    <w:p>
      <w:pPr>
        <w:pStyle w:val="0"/>
        <w:spacing w:before="200" w:lineRule="auto"/>
        <w:ind w:firstLine="540"/>
        <w:jc w:val="both"/>
      </w:pPr>
      <w:r>
        <w:rPr>
          <w:sz w:val="20"/>
        </w:rPr>
        <w:t xml:space="preserve">а) наличие на территории субъекта Российской Федерации центра прототипирования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центра прототипирования в соответствии с требованиями, установленными </w:t>
      </w:r>
      <w:hyperlink w:history="0" w:anchor="P774" w:tooltip="3.5.5.1. Центр прототипирования должен соответствовать следующим требованиям:">
        <w:r>
          <w:rPr>
            <w:sz w:val="20"/>
            <w:color w:val="0000ff"/>
          </w:rPr>
          <w:t xml:space="preserve">подпунктами 3.5.5.1</w:t>
        </w:r>
      </w:hyperlink>
      <w:r>
        <w:rPr>
          <w:sz w:val="20"/>
        </w:rPr>
        <w:t xml:space="preserve"> - </w:t>
      </w:r>
      <w:hyperlink w:history="0" w:anchor="P832" w:tooltip="3.5.5.8.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quot;Мой бизнес&quot; следующей информации:">
        <w:r>
          <w:rPr>
            <w:sz w:val="20"/>
            <w:color w:val="0000ff"/>
          </w:rPr>
          <w:t xml:space="preserve">3.5.5.8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и (или) бизнес-плана развития центра прототипирования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прототипирования со стороны субъектов МСП (объем не более 3 листов формата A4);</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pPr>
        <w:pStyle w:val="0"/>
        <w:spacing w:before="200" w:lineRule="auto"/>
        <w:ind w:firstLine="540"/>
        <w:jc w:val="both"/>
      </w:pPr>
      <w:r>
        <w:rPr>
          <w:sz w:val="20"/>
        </w:rPr>
        <w:t xml:space="preserve">д) наличие ключевых показателей эффективности деятельности центра прототипирования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е) наличие обязательства субъекта Российской Федерации обеспечить функционирование центра прототипирования в течение не менее 10 лет со дня его создания за счет субсидии.</w:t>
      </w:r>
    </w:p>
    <w:bookmarkStart w:id="774" w:name="P774"/>
    <w:bookmarkEnd w:id="774"/>
    <w:p>
      <w:pPr>
        <w:pStyle w:val="0"/>
        <w:spacing w:before="200" w:lineRule="auto"/>
        <w:ind w:firstLine="540"/>
        <w:jc w:val="both"/>
      </w:pPr>
      <w:r>
        <w:rPr>
          <w:sz w:val="20"/>
        </w:rPr>
        <w:t xml:space="preserve">3.5.5.1. Центр прототипирования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в соответствии с настоящими Требованиями, а также иными организациями, образующими инфраструктуру поддержки субъектов МСП, промышленными предприятиями, региональной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ведение раздельного бухгалтерского учета по денежным средствам, предоставленным центром прототипирования за счет средств бюджетов всех уровней и внебюджетных источников;</w:t>
      </w:r>
    </w:p>
    <w:p>
      <w:pPr>
        <w:pStyle w:val="0"/>
        <w:spacing w:before="200" w:lineRule="auto"/>
        <w:ind w:firstLine="540"/>
        <w:jc w:val="both"/>
      </w:pPr>
      <w:r>
        <w:rPr>
          <w:sz w:val="20"/>
        </w:rPr>
        <w:t xml:space="preserve">г) разрабатывать концепцию и (или) бизнес-план развития центра прототипирования на среднесрочный плановый период (не менее 3 лет) и план деятельности центра прототипирования на очередной год;</w:t>
      </w:r>
    </w:p>
    <w:p>
      <w:pPr>
        <w:pStyle w:val="0"/>
        <w:spacing w:before="200" w:lineRule="auto"/>
        <w:ind w:firstLine="540"/>
        <w:jc w:val="both"/>
      </w:pPr>
      <w:r>
        <w:rPr>
          <w:sz w:val="20"/>
        </w:rPr>
        <w:t xml:space="preserve">д) привлекать в целях осуществления деятельности специализированные организации и квалифицированных специалистов;</w:t>
      </w:r>
    </w:p>
    <w:p>
      <w:pPr>
        <w:pStyle w:val="0"/>
        <w:spacing w:before="200" w:lineRule="auto"/>
        <w:ind w:firstLine="540"/>
        <w:jc w:val="both"/>
      </w:pPr>
      <w:r>
        <w:rPr>
          <w:sz w:val="20"/>
        </w:rPr>
        <w:t xml:space="preserve">е) осуществлять распространение информации о деятельности центра прототипирования и его услугах посредством размещения информации в специальном разделе РЦИ на сайте центра "Мой бизнес",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w:t>
      </w:r>
    </w:p>
    <w:p>
      <w:pPr>
        <w:pStyle w:val="0"/>
        <w:spacing w:before="200" w:lineRule="auto"/>
        <w:ind w:firstLine="540"/>
        <w:jc w:val="both"/>
      </w:pPr>
      <w:r>
        <w:rPr>
          <w:sz w:val="20"/>
        </w:rPr>
        <w:t xml:space="preserve">ж) формировать реестр региональных производственных и инновационных малых и средних предприятий - получателей государственной поддержки;</w:t>
      </w:r>
    </w:p>
    <w:p>
      <w:pPr>
        <w:pStyle w:val="0"/>
        <w:spacing w:before="200" w:lineRule="auto"/>
        <w:ind w:firstLine="540"/>
        <w:jc w:val="both"/>
      </w:pPr>
      <w:r>
        <w:rPr>
          <w:sz w:val="20"/>
        </w:rPr>
        <w:t xml:space="preserve">з) обеспечивать наличие не менее чем 1 рабочего места для специалистов ЦП,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00" w:lineRule="auto"/>
        <w:ind w:firstLine="540"/>
        <w:jc w:val="both"/>
      </w:pPr>
      <w:r>
        <w:rPr>
          <w:sz w:val="20"/>
        </w:rPr>
        <w:t xml:space="preserve">и) обеспечивать наличие станочного парка и (или) парка высокотехнологичного оборудования, предусматривающего в том числе наличие системы мониторинга рабочего времени и простоя такого оборудования, программ для электронных вычислительных машин и оборудования (в случае его приобретения за счет средств субсидии из федерального бюджета);</w:t>
      </w:r>
    </w:p>
    <w:p>
      <w:pPr>
        <w:pStyle w:val="0"/>
        <w:spacing w:before="200" w:lineRule="auto"/>
        <w:ind w:firstLine="540"/>
        <w:jc w:val="both"/>
      </w:pPr>
      <w:r>
        <w:rPr>
          <w:sz w:val="20"/>
        </w:rPr>
        <w:t xml:space="preserve">к) обеспечивать наличие штата высококвалифицированных специалистов, имеющих навыки и опыт работы на оборудовании центра прототипирования: инженеров-конструкторов, технологов, специалистов по промышленному дизайну;</w:t>
      </w:r>
    </w:p>
    <w:p>
      <w:pPr>
        <w:pStyle w:val="0"/>
        <w:spacing w:before="200" w:lineRule="auto"/>
        <w:ind w:firstLine="540"/>
        <w:jc w:val="both"/>
      </w:pPr>
      <w:r>
        <w:rPr>
          <w:sz w:val="20"/>
        </w:rPr>
        <w:t xml:space="preserve">л) обеспечивать наличие комплекса административно-производственных площадей для размещения станочного парка и (или) парка высокотехнологичного оборудования (при наличии такого оборудования);</w:t>
      </w:r>
    </w:p>
    <w:p>
      <w:pPr>
        <w:pStyle w:val="0"/>
        <w:spacing w:before="200" w:lineRule="auto"/>
        <w:ind w:firstLine="540"/>
        <w:jc w:val="both"/>
      </w:pPr>
      <w:r>
        <w:rPr>
          <w:sz w:val="20"/>
        </w:rPr>
        <w:t xml:space="preserve">м) обеспечивать наличие специального раздела центра прототипирования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центром прототипирования;</w:t>
      </w:r>
    </w:p>
    <w:p>
      <w:pPr>
        <w:pStyle w:val="0"/>
        <w:spacing w:before="200" w:lineRule="auto"/>
        <w:ind w:firstLine="540"/>
        <w:jc w:val="both"/>
      </w:pPr>
      <w:r>
        <w:rPr>
          <w:sz w:val="20"/>
        </w:rPr>
        <w:t xml:space="preserve">формирование заявления (заявки) о предоставлении услуги центра прототипирования в форме электронного документа;</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00" w:lineRule="auto"/>
        <w:ind w:firstLine="540"/>
        <w:jc w:val="both"/>
      </w:pPr>
      <w:r>
        <w:rPr>
          <w:sz w:val="20"/>
        </w:rPr>
        <w:t xml:space="preserve">н)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о) обеспечивать внесение и актуализацию общих сведений о центре прототипирования на ЦП МСП;</w:t>
      </w:r>
    </w:p>
    <w:p>
      <w:pPr>
        <w:pStyle w:val="0"/>
        <w:spacing w:before="200" w:lineRule="auto"/>
        <w:ind w:firstLine="540"/>
        <w:jc w:val="both"/>
      </w:pPr>
      <w:r>
        <w:rPr>
          <w:sz w:val="20"/>
        </w:rPr>
        <w:t xml:space="preserve">п) обеспечивать публикацию на ЦП МСП сведений об услугах (мерах поддержки), в том числе стандартизированных, оказываемых центром прототипирования на ЦП МСП;</w:t>
      </w:r>
    </w:p>
    <w:p>
      <w:pPr>
        <w:pStyle w:val="0"/>
        <w:spacing w:before="200" w:lineRule="auto"/>
        <w:ind w:firstLine="540"/>
        <w:jc w:val="both"/>
      </w:pPr>
      <w:r>
        <w:rPr>
          <w:sz w:val="20"/>
        </w:rPr>
        <w:t xml:space="preserve">р) обеспечивать оказание услуг и мер поддержки в соответствии с функционалом ЦП МСП в случае подачи заявки с использованием ЦП МСП;</w:t>
      </w:r>
    </w:p>
    <w:p>
      <w:pPr>
        <w:pStyle w:val="0"/>
        <w:spacing w:before="200" w:lineRule="auto"/>
        <w:ind w:firstLine="540"/>
        <w:jc w:val="both"/>
      </w:pPr>
      <w:r>
        <w:rPr>
          <w:sz w:val="20"/>
        </w:rPr>
        <w:t xml:space="preserve">с) обеспечивать внесение и актуализацию сведений об оказанных центром прототипирования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т)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центра прототипирования в многофункциональных центрах для бизнеса;</w:t>
      </w:r>
    </w:p>
    <w:p>
      <w:pPr>
        <w:pStyle w:val="0"/>
        <w:spacing w:before="200" w:lineRule="auto"/>
        <w:ind w:firstLine="540"/>
        <w:jc w:val="both"/>
      </w:pPr>
      <w:r>
        <w:rPr>
          <w:sz w:val="20"/>
        </w:rPr>
        <w:t xml:space="preserve">у)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центра прототипирования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план работы центра прототипирования на год и его актуализация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3.5.5.2. Центр прототипирования в рамках деятельности должен обеспечивать:</w:t>
      </w:r>
    </w:p>
    <w:p>
      <w:pPr>
        <w:pStyle w:val="0"/>
        <w:spacing w:before="200" w:lineRule="auto"/>
        <w:ind w:firstLine="540"/>
        <w:jc w:val="both"/>
      </w:pPr>
      <w:r>
        <w:rPr>
          <w:sz w:val="20"/>
        </w:rPr>
        <w:t xml:space="preserve">а) предоставление субъектам МСП услуг, указанных в </w:t>
      </w:r>
      <w:hyperlink w:history="0" w:anchor="P809" w:tooltip="3.5.5.3. Центр прототипирования должен обеспечивать предоставление субъектам МСП следующих услуг:">
        <w:r>
          <w:rPr>
            <w:sz w:val="20"/>
            <w:color w:val="0000ff"/>
          </w:rPr>
          <w:t xml:space="preserve">подпункте 3.5.5.3 пункта 3</w:t>
        </w:r>
      </w:hyperlink>
      <w:r>
        <w:rPr>
          <w:sz w:val="20"/>
        </w:rPr>
        <w:t xml:space="preserve"> настоящих Требований;</w:t>
      </w:r>
    </w:p>
    <w:p>
      <w:pPr>
        <w:pStyle w:val="0"/>
        <w:spacing w:before="200" w:lineRule="auto"/>
        <w:ind w:firstLine="540"/>
        <w:jc w:val="both"/>
      </w:pPr>
      <w:r>
        <w:rPr>
          <w:sz w:val="20"/>
        </w:rPr>
        <w:t xml:space="preserve">б) предоставление доступа к оборудованию центра прототипирования для образовательной деятельности образовательных организаций высшего образования и профессиональных образовательных организаций;</w:t>
      </w:r>
    </w:p>
    <w:p>
      <w:pPr>
        <w:pStyle w:val="0"/>
        <w:spacing w:before="200" w:lineRule="auto"/>
        <w:ind w:firstLine="540"/>
        <w:jc w:val="both"/>
      </w:pPr>
      <w:r>
        <w:rPr>
          <w:sz w:val="20"/>
        </w:rPr>
        <w:t xml:space="preserve">в) организацию проведения вебинаров, круглых столов для субъектов МСП;</w:t>
      </w:r>
    </w:p>
    <w:p>
      <w:pPr>
        <w:pStyle w:val="0"/>
        <w:spacing w:before="200" w:lineRule="auto"/>
        <w:ind w:firstLine="540"/>
        <w:jc w:val="both"/>
      </w:pPr>
      <w:r>
        <w:rPr>
          <w:sz w:val="20"/>
        </w:rPr>
        <w:t xml:space="preserve">г) организацию обучения, стажировок и повышения квалификации сотрудников центра прототипирования;</w:t>
      </w:r>
    </w:p>
    <w:p>
      <w:pPr>
        <w:pStyle w:val="0"/>
        <w:spacing w:before="200" w:lineRule="auto"/>
        <w:ind w:firstLine="540"/>
        <w:jc w:val="both"/>
      </w:pPr>
      <w:r>
        <w:rPr>
          <w:sz w:val="20"/>
        </w:rPr>
        <w:t xml:space="preserve">д) создание и ведение базы данных организаций, оказывающих услуги, связанные с выполнением центром прототипирования своей деятельности;</w:t>
      </w:r>
    </w:p>
    <w:p>
      <w:pPr>
        <w:pStyle w:val="0"/>
        <w:spacing w:before="200" w:lineRule="auto"/>
        <w:ind w:firstLine="540"/>
        <w:jc w:val="both"/>
      </w:pPr>
      <w:r>
        <w:rPr>
          <w:sz w:val="20"/>
        </w:rPr>
        <w:t xml:space="preserve">е) продвижение информации об услугах центра прототипирования,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ж) мониторинг деятельности субъектов МСП, которым предоставлены услуги центра прототипирования;</w:t>
      </w:r>
    </w:p>
    <w:p>
      <w:pPr>
        <w:pStyle w:val="0"/>
        <w:spacing w:before="200" w:lineRule="auto"/>
        <w:ind w:firstLine="540"/>
        <w:jc w:val="both"/>
      </w:pPr>
      <w:r>
        <w:rPr>
          <w:sz w:val="20"/>
        </w:rPr>
        <w:t xml:space="preserve">з)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дня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прототипирования,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809" w:name="P809"/>
    <w:bookmarkEnd w:id="809"/>
    <w:p>
      <w:pPr>
        <w:pStyle w:val="0"/>
        <w:spacing w:before="200" w:lineRule="auto"/>
        <w:ind w:firstLine="540"/>
        <w:jc w:val="both"/>
      </w:pPr>
      <w:r>
        <w:rPr>
          <w:sz w:val="20"/>
        </w:rPr>
        <w:t xml:space="preserve">3.5.5.3. Центр прототипирования должен обеспечивать предоставление субъектам МСП следующих услуг:</w:t>
      </w:r>
    </w:p>
    <w:bookmarkStart w:id="810" w:name="P810"/>
    <w:bookmarkEnd w:id="810"/>
    <w:p>
      <w:pPr>
        <w:pStyle w:val="0"/>
        <w:spacing w:before="200" w:lineRule="auto"/>
        <w:ind w:firstLine="540"/>
        <w:jc w:val="both"/>
      </w:pPr>
      <w:r>
        <w:rPr>
          <w:sz w:val="20"/>
        </w:rPr>
        <w:t xml:space="preserve">а) услуга скоринга;</w:t>
      </w:r>
    </w:p>
    <w:bookmarkStart w:id="811" w:name="P811"/>
    <w:bookmarkEnd w:id="811"/>
    <w:p>
      <w:pPr>
        <w:pStyle w:val="0"/>
        <w:spacing w:before="200" w:lineRule="auto"/>
        <w:ind w:firstLine="540"/>
        <w:jc w:val="both"/>
      </w:pPr>
      <w:r>
        <w:rPr>
          <w:sz w:val="20"/>
        </w:rPr>
        <w:t xml:space="preserve">б) консультирование об услугах центра прототипирования;</w:t>
      </w:r>
    </w:p>
    <w:p>
      <w:pPr>
        <w:pStyle w:val="0"/>
        <w:spacing w:before="200" w:lineRule="auto"/>
        <w:ind w:firstLine="540"/>
        <w:jc w:val="both"/>
      </w:pPr>
      <w:r>
        <w:rPr>
          <w:sz w:val="20"/>
        </w:rPr>
        <w:t xml:space="preserve">в) проектирование и разработка конструкторской документации;</w:t>
      </w:r>
    </w:p>
    <w:p>
      <w:pPr>
        <w:pStyle w:val="0"/>
        <w:spacing w:before="200" w:lineRule="auto"/>
        <w:ind w:firstLine="540"/>
        <w:jc w:val="both"/>
      </w:pPr>
      <w:r>
        <w:rPr>
          <w:sz w:val="20"/>
        </w:rPr>
        <w:t xml:space="preserve">г) проектирование и корректировка 3D-моделей изделий по готовым чертежам;</w:t>
      </w:r>
    </w:p>
    <w:p>
      <w:pPr>
        <w:pStyle w:val="0"/>
        <w:spacing w:before="200" w:lineRule="auto"/>
        <w:ind w:firstLine="540"/>
        <w:jc w:val="both"/>
      </w:pPr>
      <w:r>
        <w:rPr>
          <w:sz w:val="20"/>
        </w:rPr>
        <w:t xml:space="preserve">д) изготовление прототипов изделий и (или) малых партий изделий;</w:t>
      </w:r>
    </w:p>
    <w:p>
      <w:pPr>
        <w:pStyle w:val="0"/>
        <w:spacing w:before="200" w:lineRule="auto"/>
        <w:ind w:firstLine="540"/>
        <w:jc w:val="both"/>
      </w:pPr>
      <w:r>
        <w:rPr>
          <w:sz w:val="20"/>
        </w:rPr>
        <w:t xml:space="preserve">е) создание литьевых форм;</w:t>
      </w:r>
    </w:p>
    <w:p>
      <w:pPr>
        <w:pStyle w:val="0"/>
        <w:spacing w:before="200" w:lineRule="auto"/>
        <w:ind w:firstLine="540"/>
        <w:jc w:val="both"/>
      </w:pPr>
      <w:r>
        <w:rPr>
          <w:sz w:val="20"/>
        </w:rPr>
        <w:t xml:space="preserve">ж) иные услуги технологического характера в соответствии со специализацией центра прототипирования.</w:t>
      </w:r>
    </w:p>
    <w:p>
      <w:pPr>
        <w:pStyle w:val="0"/>
        <w:spacing w:before="200" w:lineRule="auto"/>
        <w:ind w:firstLine="540"/>
        <w:jc w:val="both"/>
      </w:pPr>
      <w:r>
        <w:rPr>
          <w:sz w:val="20"/>
        </w:rPr>
        <w:t xml:space="preserve">3.5.5.3.1. Услуги центра прототипирования, указанные в </w:t>
      </w:r>
      <w:hyperlink w:history="0" w:anchor="P809" w:tooltip="3.5.5.3. Центр прототипирования должен обеспечивать предоставление субъектам МСП следующих услуг:">
        <w:r>
          <w:rPr>
            <w:sz w:val="20"/>
            <w:color w:val="0000ff"/>
          </w:rPr>
          <w:t xml:space="preserve">подпункте 3.5.5.3 пункта 3</w:t>
        </w:r>
      </w:hyperlink>
      <w:r>
        <w:rPr>
          <w:sz w:val="20"/>
        </w:rPr>
        <w:t xml:space="preserve"> настоящих Требований, должны предоставляться субъектам МСП на платной основе, или частично платной основе, или на бесплатной основе (за исключением услуг центра прототипирования, указанных в </w:t>
      </w:r>
      <w:hyperlink w:history="0" w:anchor="P810" w:tooltip="а) услуга скоринга;">
        <w:r>
          <w:rPr>
            <w:sz w:val="20"/>
            <w:color w:val="0000ff"/>
          </w:rPr>
          <w:t xml:space="preserve">подпунктах "а"</w:t>
        </w:r>
      </w:hyperlink>
      <w:r>
        <w:rPr>
          <w:sz w:val="20"/>
        </w:rPr>
        <w:t xml:space="preserve"> и </w:t>
      </w:r>
      <w:hyperlink w:history="0" w:anchor="P811" w:tooltip="б) консультирование об услугах центра прототипирования;">
        <w:r>
          <w:rPr>
            <w:sz w:val="20"/>
            <w:color w:val="0000ff"/>
          </w:rPr>
          <w:t xml:space="preserve">"б" подпункта 3.5.5.3 пункта 3</w:t>
        </w:r>
      </w:hyperlink>
      <w:r>
        <w:rPr>
          <w:sz w:val="20"/>
        </w:rPr>
        <w:t xml:space="preserve"> настоящих Требований, которые предоставляются субъектам МСП на бесплатной основе)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3.5.5.4. При привлечении сторонних организаций в процессе проведения отбора поставщиков услуг центр прототипирования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00" w:lineRule="auto"/>
        <w:ind w:firstLine="540"/>
        <w:jc w:val="both"/>
      </w:pPr>
      <w:r>
        <w:rPr>
          <w:sz w:val="20"/>
        </w:rPr>
        <w:t xml:space="preserve">3.5.5.5. При организации центром прототипирования вебинаров, круглых столов необходимо соблюдение следующих требований:</w:t>
      </w:r>
    </w:p>
    <w:p>
      <w:pPr>
        <w:pStyle w:val="0"/>
        <w:spacing w:before="200" w:lineRule="auto"/>
        <w:ind w:firstLine="540"/>
        <w:jc w:val="both"/>
      </w:pPr>
      <w:r>
        <w:rPr>
          <w:sz w:val="20"/>
        </w:rPr>
        <w:t xml:space="preserve">а) количество участников вебинаров должно быть не менее 10, не менее 2/3 из которых составляют представители субъектов МСП;</w:t>
      </w:r>
    </w:p>
    <w:p>
      <w:pPr>
        <w:pStyle w:val="0"/>
        <w:spacing w:before="200" w:lineRule="auto"/>
        <w:ind w:firstLine="540"/>
        <w:jc w:val="both"/>
      </w:pPr>
      <w:r>
        <w:rPr>
          <w:sz w:val="20"/>
        </w:rPr>
        <w:t xml:space="preserve">б) количество участников круглого стола должно быть от 20 до 50, не менее 2/3 из которых составляют представители субъектов МСП.</w:t>
      </w:r>
    </w:p>
    <w:p>
      <w:pPr>
        <w:pStyle w:val="0"/>
        <w:spacing w:before="200" w:lineRule="auto"/>
        <w:ind w:firstLine="540"/>
        <w:jc w:val="both"/>
      </w:pPr>
      <w:r>
        <w:rPr>
          <w:sz w:val="20"/>
        </w:rPr>
        <w:t xml:space="preserve">3.5.5.6. Центр прототипирования должен располагаться в помещении, соответствующем следующим критериям:</w:t>
      </w:r>
    </w:p>
    <w:p>
      <w:pPr>
        <w:pStyle w:val="0"/>
        <w:spacing w:before="200" w:lineRule="auto"/>
        <w:ind w:firstLine="540"/>
        <w:jc w:val="both"/>
      </w:pPr>
      <w:r>
        <w:rPr>
          <w:sz w:val="20"/>
        </w:rPr>
        <w:t xml:space="preserve">а) площадь не менее 120 кв. метров;</w:t>
      </w:r>
    </w:p>
    <w:p>
      <w:pPr>
        <w:pStyle w:val="0"/>
        <w:spacing w:before="200" w:lineRule="auto"/>
        <w:ind w:firstLine="540"/>
        <w:jc w:val="both"/>
      </w:pPr>
      <w:r>
        <w:rPr>
          <w:sz w:val="20"/>
        </w:rPr>
        <w:t xml:space="preserve">б) входная группа, а также внутренняя организация помещения (дверные проемы, коридоры) обеспечивают беспрепятственный доступ для лиц с ограниченными возможностями передвижения;</w:t>
      </w:r>
    </w:p>
    <w:p>
      <w:pPr>
        <w:pStyle w:val="0"/>
        <w:spacing w:before="200" w:lineRule="auto"/>
        <w:ind w:firstLine="540"/>
        <w:jc w:val="both"/>
      </w:pPr>
      <w:r>
        <w:rPr>
          <w:sz w:val="20"/>
        </w:rPr>
        <w:t xml:space="preserve">в) помещение не располагается в подвальном помещении;</w:t>
      </w:r>
    </w:p>
    <w:p>
      <w:pPr>
        <w:pStyle w:val="0"/>
        <w:spacing w:before="200" w:lineRule="auto"/>
        <w:ind w:firstLine="540"/>
        <w:jc w:val="both"/>
      </w:pPr>
      <w:r>
        <w:rPr>
          <w:sz w:val="20"/>
        </w:rPr>
        <w:t xml:space="preserve">г) помещение не располагается в строении, имеющем повреждения несущих конструкций.</w:t>
      </w:r>
    </w:p>
    <w:p>
      <w:pPr>
        <w:pStyle w:val="0"/>
        <w:spacing w:before="200" w:lineRule="auto"/>
        <w:ind w:firstLine="540"/>
        <w:jc w:val="both"/>
      </w:pPr>
      <w:r>
        <w:rPr>
          <w:sz w:val="20"/>
        </w:rPr>
        <w:t xml:space="preserve">3.5.5.7. Руководитель центра прототипирования должен иметь:</w:t>
      </w:r>
    </w:p>
    <w:p>
      <w:pPr>
        <w:pStyle w:val="0"/>
        <w:spacing w:before="200" w:lineRule="auto"/>
        <w:ind w:firstLine="540"/>
        <w:jc w:val="both"/>
      </w:pPr>
      <w:r>
        <w:rPr>
          <w:sz w:val="20"/>
        </w:rPr>
        <w:t xml:space="preserve">а) гражданство Российской Федерации;</w:t>
      </w:r>
    </w:p>
    <w:p>
      <w:pPr>
        <w:pStyle w:val="0"/>
        <w:spacing w:before="200" w:lineRule="auto"/>
        <w:ind w:firstLine="540"/>
        <w:jc w:val="both"/>
      </w:pPr>
      <w:r>
        <w:rPr>
          <w:sz w:val="20"/>
        </w:rPr>
        <w:t xml:space="preserve">б) высшее образование и документ, подтверждающий повышение квалификации в области управления;</w:t>
      </w:r>
    </w:p>
    <w:p>
      <w:pPr>
        <w:pStyle w:val="0"/>
        <w:spacing w:before="200" w:lineRule="auto"/>
        <w:ind w:firstLine="540"/>
        <w:jc w:val="both"/>
      </w:pPr>
      <w:r>
        <w:rPr>
          <w:sz w:val="20"/>
        </w:rPr>
        <w:t xml:space="preserve">в) опыт работы на руководящих должностях не менее 5 лет или опыт работы в центре прототипирования или других организациях инновационно-производственной инфраструктуры поддержки субъектов МСП не менее 3 лет;</w:t>
      </w:r>
    </w:p>
    <w:p>
      <w:pPr>
        <w:pStyle w:val="0"/>
        <w:spacing w:before="200" w:lineRule="auto"/>
        <w:ind w:firstLine="540"/>
        <w:jc w:val="both"/>
      </w:pPr>
      <w:r>
        <w:rPr>
          <w:sz w:val="20"/>
        </w:rPr>
        <w:t xml:space="preserve">г) удостоверения, подтверждающие ежегодное прохождение повышения квалификации, в том числе в сфере проектного управления.</w:t>
      </w:r>
    </w:p>
    <w:bookmarkStart w:id="832" w:name="P832"/>
    <w:bookmarkEnd w:id="832"/>
    <w:p>
      <w:pPr>
        <w:pStyle w:val="0"/>
        <w:spacing w:before="200" w:lineRule="auto"/>
        <w:ind w:firstLine="540"/>
        <w:jc w:val="both"/>
      </w:pPr>
      <w:r>
        <w:rPr>
          <w:sz w:val="20"/>
        </w:rPr>
        <w:t xml:space="preserve">3.5.5.8.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"Мой бизнес" следующей информации:</w:t>
      </w:r>
    </w:p>
    <w:p>
      <w:pPr>
        <w:pStyle w:val="0"/>
        <w:spacing w:before="200" w:lineRule="auto"/>
        <w:ind w:firstLine="540"/>
        <w:jc w:val="both"/>
      </w:pPr>
      <w:r>
        <w:rPr>
          <w:sz w:val="20"/>
        </w:rPr>
        <w:t xml:space="preserve">а) сведения об учредителях центра прототипирования (юридического лица, структурным подразделением которого является центр прототипирования);</w:t>
      </w:r>
    </w:p>
    <w:p>
      <w:pPr>
        <w:pStyle w:val="0"/>
        <w:spacing w:before="200" w:lineRule="auto"/>
        <w:ind w:firstLine="540"/>
        <w:jc w:val="both"/>
      </w:pPr>
      <w:r>
        <w:rPr>
          <w:sz w:val="20"/>
        </w:rPr>
        <w:t xml:space="preserve">б) сведения о деятельности центра прототипирования, его целях и задачах, а также оказываемых услугах, в том числе стоимости услуг;</w:t>
      </w:r>
    </w:p>
    <w:p>
      <w:pPr>
        <w:pStyle w:val="0"/>
        <w:spacing w:before="200" w:lineRule="auto"/>
        <w:ind w:firstLine="540"/>
        <w:jc w:val="both"/>
      </w:pPr>
      <w:r>
        <w:rPr>
          <w:sz w:val="20"/>
        </w:rPr>
        <w:t xml:space="preserve">в) сведения о разработках и прототипах продуктов и изделий, созданных центром прототипирования, которые могут быть использованы субъектами МСП;</w:t>
      </w:r>
    </w:p>
    <w:p>
      <w:pPr>
        <w:pStyle w:val="0"/>
        <w:spacing w:before="200" w:lineRule="auto"/>
        <w:ind w:firstLine="540"/>
        <w:jc w:val="both"/>
      </w:pPr>
      <w:r>
        <w:rPr>
          <w:sz w:val="20"/>
        </w:rPr>
        <w:t xml:space="preserve">г) отчеты о деятельности центра прототипирования за предыдущие годы со дня его создания;</w:t>
      </w:r>
    </w:p>
    <w:p>
      <w:pPr>
        <w:pStyle w:val="0"/>
        <w:spacing w:before="200" w:lineRule="auto"/>
        <w:ind w:firstLine="540"/>
        <w:jc w:val="both"/>
      </w:pPr>
      <w:r>
        <w:rPr>
          <w:sz w:val="20"/>
        </w:rPr>
        <w:t xml:space="preserve">д) разработанные документы: бизнес-планы развития центра прототипирования, концепция развития центра прототипирования;</w:t>
      </w:r>
    </w:p>
    <w:p>
      <w:pPr>
        <w:pStyle w:val="0"/>
        <w:spacing w:before="200" w:lineRule="auto"/>
        <w:ind w:firstLine="540"/>
        <w:jc w:val="both"/>
      </w:pPr>
      <w:r>
        <w:rPr>
          <w:sz w:val="20"/>
        </w:rPr>
        <w:t xml:space="preserve">е) информация о составе, технических характеристиках и условиях доступа к высокотехнологичному оборудованию центра прототипирования;</w:t>
      </w:r>
    </w:p>
    <w:p>
      <w:pPr>
        <w:pStyle w:val="0"/>
        <w:spacing w:before="200" w:lineRule="auto"/>
        <w:ind w:firstLine="540"/>
        <w:jc w:val="both"/>
      </w:pPr>
      <w:r>
        <w:rPr>
          <w:sz w:val="20"/>
        </w:rPr>
        <w:t xml:space="preserve">ж) сведения о проектах субъектов МСП, реализованных в центре прототипирования, и успешных практиках инновационно-производственных субъектов МСП, получивших поддержку (при наличии);</w:t>
      </w:r>
    </w:p>
    <w:p>
      <w:pPr>
        <w:pStyle w:val="0"/>
        <w:spacing w:before="200" w:lineRule="auto"/>
        <w:ind w:firstLine="540"/>
        <w:jc w:val="both"/>
      </w:pPr>
      <w:r>
        <w:rPr>
          <w:sz w:val="20"/>
        </w:rPr>
        <w:t xml:space="preserve">з) информация о стоимости платных услуг, предоставляемых центром прототипирования.</w:t>
      </w:r>
    </w:p>
    <w:p>
      <w:pPr>
        <w:pStyle w:val="0"/>
        <w:spacing w:before="200" w:lineRule="auto"/>
        <w:ind w:firstLine="540"/>
        <w:jc w:val="both"/>
      </w:pPr>
      <w:r>
        <w:rPr>
          <w:sz w:val="20"/>
        </w:rPr>
        <w:t xml:space="preserve">3.5.6. Требованиями к предоставлению субсидии на создание и (или) развитие центров сертификации являются:</w:t>
      </w:r>
    </w:p>
    <w:p>
      <w:pPr>
        <w:pStyle w:val="0"/>
        <w:spacing w:before="200" w:lineRule="auto"/>
        <w:ind w:firstLine="540"/>
        <w:jc w:val="both"/>
      </w:pPr>
      <w:r>
        <w:rPr>
          <w:sz w:val="20"/>
        </w:rPr>
        <w:t xml:space="preserve">а) наличие на территории субъекта Российской Федерации центра сертификации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центра сертификации в соответствии с требованиями, установленными </w:t>
      </w:r>
      <w:hyperlink w:history="0" w:anchor="P848" w:tooltip="3.5.6.1. Центр сертификации должен соответствовать следующим требованиям:">
        <w:r>
          <w:rPr>
            <w:sz w:val="20"/>
            <w:color w:val="0000ff"/>
          </w:rPr>
          <w:t xml:space="preserve">подпунктами 3.5.6.1</w:t>
        </w:r>
      </w:hyperlink>
      <w:r>
        <w:rPr>
          <w:sz w:val="20"/>
        </w:rPr>
        <w:t xml:space="preserve"> - </w:t>
      </w:r>
      <w:hyperlink w:history="0" w:anchor="P912" w:tooltip="3.5.6.8. Центр сертификации должен иметь в штате квалифицированных специалистов в области аккредитации.">
        <w:r>
          <w:rPr>
            <w:sz w:val="20"/>
            <w:color w:val="0000ff"/>
          </w:rPr>
          <w:t xml:space="preserve">3.5.6.8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и (или) бизнес-плана развития центра сертификации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сертификации со стороны субъектов МСП (объем не более 3 листов формата A4);</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pPr>
        <w:pStyle w:val="0"/>
        <w:spacing w:before="200" w:lineRule="auto"/>
        <w:ind w:firstLine="540"/>
        <w:jc w:val="both"/>
      </w:pPr>
      <w:r>
        <w:rPr>
          <w:sz w:val="20"/>
        </w:rPr>
        <w:t xml:space="preserve">д) наличие ключевых показателей эффективности деятельности центра сертификации на год, в котором предоставляется субсидия (рекомендуемый образец приведен в </w:t>
      </w:r>
      <w:hyperlink w:history="0" w:anchor="P2387" w:tooltip="                                  ЗАЯВКА">
        <w:r>
          <w:rPr>
            <w:sz w:val="20"/>
            <w:color w:val="0000ff"/>
          </w:rPr>
          <w:t xml:space="preserve">приложении N 3</w:t>
        </w:r>
      </w:hyperlink>
      <w:r>
        <w:rPr>
          <w:sz w:val="20"/>
        </w:rPr>
        <w:t xml:space="preserve"> к настоящим Требованиям);</w:t>
      </w:r>
    </w:p>
    <w:p>
      <w:pPr>
        <w:pStyle w:val="0"/>
        <w:spacing w:before="200" w:lineRule="auto"/>
        <w:ind w:firstLine="540"/>
        <w:jc w:val="both"/>
      </w:pPr>
      <w:r>
        <w:rPr>
          <w:sz w:val="20"/>
        </w:rPr>
        <w:t xml:space="preserve">е) наличие обязательства субъекта Российской Федерации обеспечить функционирование центра сертификации в течение не менее 10 лет со дня его создания за счет средств субсидии.</w:t>
      </w:r>
    </w:p>
    <w:bookmarkStart w:id="848" w:name="P848"/>
    <w:bookmarkEnd w:id="848"/>
    <w:p>
      <w:pPr>
        <w:pStyle w:val="0"/>
        <w:spacing w:before="200" w:lineRule="auto"/>
        <w:ind w:firstLine="540"/>
        <w:jc w:val="both"/>
      </w:pPr>
      <w:r>
        <w:rPr>
          <w:sz w:val="20"/>
        </w:rPr>
        <w:t xml:space="preserve">3.5.6.1. Центр сертификации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в соответствии с настоящими Требованиями, а также иными организациями, образующими инфраструктуру поддержки субъектов МСП;</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ведение раздельного бухгалтерского учета по денежным средствам, предоставленным центру сертификации за счет средств бюджетов всех уровней и внебюджетных источников;</w:t>
      </w:r>
    </w:p>
    <w:p>
      <w:pPr>
        <w:pStyle w:val="0"/>
        <w:spacing w:before="200" w:lineRule="auto"/>
        <w:ind w:firstLine="540"/>
        <w:jc w:val="both"/>
      </w:pPr>
      <w:r>
        <w:rPr>
          <w:sz w:val="20"/>
        </w:rPr>
        <w:t xml:space="preserve">г) разрабатывать концепцию и (или) бизнес-план развития центра сертификации на среднесрочный (не менее 3 лет) плановый период и план деятельности центра сертификации на очередной год;</w:t>
      </w:r>
    </w:p>
    <w:p>
      <w:pPr>
        <w:pStyle w:val="0"/>
        <w:spacing w:before="200" w:lineRule="auto"/>
        <w:ind w:firstLine="540"/>
        <w:jc w:val="both"/>
      </w:pPr>
      <w:r>
        <w:rPr>
          <w:sz w:val="20"/>
        </w:rPr>
        <w:t xml:space="preserve">д) осуществлять распространение информации о деятельности центра сертификации и его услугах посредством размещения информации в специальном разделе центра сертификации на сайте центра "Мой бизнес",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w:t>
      </w:r>
    </w:p>
    <w:p>
      <w:pPr>
        <w:pStyle w:val="0"/>
        <w:spacing w:before="200" w:lineRule="auto"/>
        <w:ind w:firstLine="540"/>
        <w:jc w:val="both"/>
      </w:pPr>
      <w:r>
        <w:rPr>
          <w:sz w:val="20"/>
        </w:rPr>
        <w:t xml:space="preserve">е) формировать реестр региональных производственных и инновационных малых и средних предприятий - получателей государственной поддержки;</w:t>
      </w:r>
    </w:p>
    <w:p>
      <w:pPr>
        <w:pStyle w:val="0"/>
        <w:spacing w:before="200" w:lineRule="auto"/>
        <w:ind w:firstLine="540"/>
        <w:jc w:val="both"/>
      </w:pPr>
      <w:r>
        <w:rPr>
          <w:sz w:val="20"/>
        </w:rPr>
        <w:t xml:space="preserve">ж) обеспечивать наличие не менее 1 рабочего места для специалистов центра сертификации,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00" w:lineRule="auto"/>
        <w:ind w:firstLine="540"/>
        <w:jc w:val="both"/>
      </w:pPr>
      <w:r>
        <w:rPr>
          <w:sz w:val="20"/>
        </w:rPr>
        <w:t xml:space="preserve">з) обеспечивать наличие парка высокотехнологичного оборудования, в том числе испытательного и сертификационного, предусматривающего в том числе наличие системы мониторинга рабочего времени и простоя такого оборудования, и необходимого программного обеспечения (в случае его приобретения за счет средств субсидии);</w:t>
      </w:r>
    </w:p>
    <w:p>
      <w:pPr>
        <w:pStyle w:val="0"/>
        <w:spacing w:before="200" w:lineRule="auto"/>
        <w:ind w:firstLine="540"/>
        <w:jc w:val="both"/>
      </w:pPr>
      <w:r>
        <w:rPr>
          <w:sz w:val="20"/>
        </w:rPr>
        <w:t xml:space="preserve">и) обеспечивать наличие штата высококвалифицированных специалистов, имеющих навыки и опыт работы на оборудовании центра сертификации, состоящего из инженеров-конструкторов, технологов, иных специалистов в сфере деятельности центра сертификации;</w:t>
      </w:r>
    </w:p>
    <w:p>
      <w:pPr>
        <w:pStyle w:val="0"/>
        <w:spacing w:before="200" w:lineRule="auto"/>
        <w:ind w:firstLine="540"/>
        <w:jc w:val="both"/>
      </w:pPr>
      <w:r>
        <w:rPr>
          <w:sz w:val="20"/>
        </w:rPr>
        <w:t xml:space="preserve">к) обеспечивать наличие комплекса административно-производственных площадей для размещения парка высокотехнологичного оборудования, в том числе испытательного и сертификационного (при наличии такого оборудования);</w:t>
      </w:r>
    </w:p>
    <w:p>
      <w:pPr>
        <w:pStyle w:val="0"/>
        <w:spacing w:before="200" w:lineRule="auto"/>
        <w:ind w:firstLine="540"/>
        <w:jc w:val="both"/>
      </w:pPr>
      <w:r>
        <w:rPr>
          <w:sz w:val="20"/>
        </w:rPr>
        <w:t xml:space="preserve">л) обеспечивать наличие специального раздела центра сертификации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центром сертификации;</w:t>
      </w:r>
    </w:p>
    <w:p>
      <w:pPr>
        <w:pStyle w:val="0"/>
        <w:spacing w:before="200" w:lineRule="auto"/>
        <w:ind w:firstLine="540"/>
        <w:jc w:val="both"/>
      </w:pPr>
      <w:r>
        <w:rPr>
          <w:sz w:val="20"/>
        </w:rPr>
        <w:t xml:space="preserve">формирование заявления (заявки) о предоставлении услуги центра сертификации в форме электронного документа;</w:t>
      </w:r>
    </w:p>
    <w:p>
      <w:pPr>
        <w:pStyle w:val="0"/>
        <w:spacing w:before="200" w:lineRule="auto"/>
        <w:ind w:firstLine="540"/>
        <w:jc w:val="both"/>
      </w:pPr>
      <w:r>
        <w:rPr>
          <w:sz w:val="20"/>
        </w:rPr>
        <w:t xml:space="preserve">размещение информации об успешных практиках инновационно-производственных субъектов МСП, получивших поддержку (при наличии);</w:t>
      </w:r>
    </w:p>
    <w:p>
      <w:pPr>
        <w:pStyle w:val="0"/>
        <w:spacing w:before="200" w:lineRule="auto"/>
        <w:ind w:firstLine="540"/>
        <w:jc w:val="both"/>
      </w:pPr>
      <w:r>
        <w:rPr>
          <w:sz w:val="20"/>
        </w:rPr>
        <w:t xml:space="preserve">информацию о возможности подачи заявления (заявки) о предоставлении услуги центра сертификации в электронном виде с использованием ЦП МСП;</w:t>
      </w:r>
    </w:p>
    <w:p>
      <w:pPr>
        <w:pStyle w:val="0"/>
        <w:spacing w:before="200" w:lineRule="auto"/>
        <w:ind w:firstLine="540"/>
        <w:jc w:val="both"/>
      </w:pPr>
      <w:r>
        <w:rPr>
          <w:sz w:val="20"/>
        </w:rPr>
        <w:t xml:space="preserve">м)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н) обеспечивать внесение и актуализацию общих сведений о центре сертификации на ЦП МСП;</w:t>
      </w:r>
    </w:p>
    <w:p>
      <w:pPr>
        <w:pStyle w:val="0"/>
        <w:spacing w:before="200" w:lineRule="auto"/>
        <w:ind w:firstLine="540"/>
        <w:jc w:val="both"/>
      </w:pPr>
      <w:r>
        <w:rPr>
          <w:sz w:val="20"/>
        </w:rPr>
        <w:t xml:space="preserve">о) обеспечивать публикацию на ЦП МСП сведений об услугах (мерах поддержки), в том числе стандартизированных, оказываемых центром сертификации на ЦП МСП;</w:t>
      </w:r>
    </w:p>
    <w:p>
      <w:pPr>
        <w:pStyle w:val="0"/>
        <w:spacing w:before="200" w:lineRule="auto"/>
        <w:ind w:firstLine="540"/>
        <w:jc w:val="both"/>
      </w:pPr>
      <w:r>
        <w:rPr>
          <w:sz w:val="20"/>
        </w:rPr>
        <w:t xml:space="preserve">п) обеспечивать оказание услуг и мер поддержки центра сертификации в соответствии с функционалом ЦП МСП в случае подачи заявления (заявки) о предоставлении услуги центра сертификации с использованием ЦП МСП;</w:t>
      </w:r>
    </w:p>
    <w:p>
      <w:pPr>
        <w:pStyle w:val="0"/>
        <w:spacing w:before="200" w:lineRule="auto"/>
        <w:ind w:firstLine="540"/>
        <w:jc w:val="both"/>
      </w:pPr>
      <w:r>
        <w:rPr>
          <w:sz w:val="20"/>
        </w:rPr>
        <w:t xml:space="preserve">р) обеспечивать внесение и актуализацию сведений об оказанных центром сертификации услугах и мерах поддержки, включая сведения о субъектах МСП - получателях поддержки, с использованием функционала ЦП МСП формирования реестра субъектов МСП - получателей поддержки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с)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центра сертификации в многофункциональных центрах для бизнеса;</w:t>
      </w:r>
    </w:p>
    <w:p>
      <w:pPr>
        <w:pStyle w:val="0"/>
        <w:spacing w:before="200" w:lineRule="auto"/>
        <w:ind w:firstLine="540"/>
        <w:jc w:val="both"/>
      </w:pPr>
      <w:r>
        <w:rPr>
          <w:sz w:val="20"/>
        </w:rPr>
        <w:t xml:space="preserve">т)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центра сертификации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3.5.6.2. Центр сертификации в рамках деятельности должен обеспечивать:</w:t>
      </w:r>
    </w:p>
    <w:p>
      <w:pPr>
        <w:pStyle w:val="0"/>
        <w:spacing w:before="200" w:lineRule="auto"/>
        <w:ind w:firstLine="540"/>
        <w:jc w:val="both"/>
      </w:pPr>
      <w:r>
        <w:rPr>
          <w:sz w:val="20"/>
        </w:rPr>
        <w:t xml:space="preserve">а) предоставление субъектам МСП услуг, указанных в </w:t>
      </w:r>
      <w:hyperlink w:history="0" w:anchor="P883" w:tooltip="3.5.6.3. Центр сертификации должен обеспечивать предоставление субъектам МСП следующих услуг:">
        <w:r>
          <w:rPr>
            <w:sz w:val="20"/>
            <w:color w:val="0000ff"/>
          </w:rPr>
          <w:t xml:space="preserve">подпункте 3.5.6.3 пункта 3</w:t>
        </w:r>
      </w:hyperlink>
      <w:r>
        <w:rPr>
          <w:sz w:val="20"/>
        </w:rPr>
        <w:t xml:space="preserve"> настоящих Требований;</w:t>
      </w:r>
    </w:p>
    <w:p>
      <w:pPr>
        <w:pStyle w:val="0"/>
        <w:spacing w:before="200" w:lineRule="auto"/>
        <w:ind w:firstLine="540"/>
        <w:jc w:val="both"/>
      </w:pPr>
      <w:r>
        <w:rPr>
          <w:sz w:val="20"/>
        </w:rPr>
        <w:t xml:space="preserve">б) эксплуатацию и повышение уровня загрузки оборудования центра сертификации;</w:t>
      </w:r>
    </w:p>
    <w:p>
      <w:pPr>
        <w:pStyle w:val="0"/>
        <w:spacing w:before="200" w:lineRule="auto"/>
        <w:ind w:firstLine="540"/>
        <w:jc w:val="both"/>
      </w:pPr>
      <w:r>
        <w:rPr>
          <w:sz w:val="20"/>
        </w:rPr>
        <w:t xml:space="preserve">в) единство и достоверность измерений при проведении исследований с использованием оборудования центра сертификации;</w:t>
      </w:r>
    </w:p>
    <w:p>
      <w:pPr>
        <w:pStyle w:val="0"/>
        <w:spacing w:before="200" w:lineRule="auto"/>
        <w:ind w:firstLine="540"/>
        <w:jc w:val="both"/>
      </w:pPr>
      <w:r>
        <w:rPr>
          <w:sz w:val="20"/>
        </w:rPr>
        <w:t xml:space="preserve">г) участие в подготовке специалистов и кадров высшей квалификации с использованием оборудования центра сертификации;</w:t>
      </w:r>
    </w:p>
    <w:p>
      <w:pPr>
        <w:pStyle w:val="0"/>
        <w:spacing w:before="200" w:lineRule="auto"/>
        <w:ind w:firstLine="540"/>
        <w:jc w:val="both"/>
      </w:pPr>
      <w:r>
        <w:rPr>
          <w:sz w:val="20"/>
        </w:rPr>
        <w:t xml:space="preserve">д) создание и ведение базы данных организаций, оказывающих услуги, связанные с выполнением центром сертификации своей деятельности;</w:t>
      </w:r>
    </w:p>
    <w:p>
      <w:pPr>
        <w:pStyle w:val="0"/>
        <w:spacing w:before="200" w:lineRule="auto"/>
        <w:ind w:firstLine="540"/>
        <w:jc w:val="both"/>
      </w:pPr>
      <w:r>
        <w:rPr>
          <w:sz w:val="20"/>
        </w:rPr>
        <w:t xml:space="preserve">е) продвижение информации об услугах центра сертификации,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ж) организацию обучения, стажировок и повышения квалификации сотрудников центра сертификации;</w:t>
      </w:r>
    </w:p>
    <w:p>
      <w:pPr>
        <w:pStyle w:val="0"/>
        <w:spacing w:before="200" w:lineRule="auto"/>
        <w:ind w:firstLine="540"/>
        <w:jc w:val="both"/>
      </w:pPr>
      <w:r>
        <w:rPr>
          <w:sz w:val="20"/>
        </w:rPr>
        <w:t xml:space="preserve">з) мониторинг деятельности субъектов МСП, которым предоставлены услуги центра сертификации;</w:t>
      </w:r>
    </w:p>
    <w:p>
      <w:pPr>
        <w:pStyle w:val="0"/>
        <w:spacing w:before="200" w:lineRule="auto"/>
        <w:ind w:firstLine="540"/>
        <w:jc w:val="both"/>
      </w:pPr>
      <w:r>
        <w:rPr>
          <w:sz w:val="20"/>
        </w:rPr>
        <w:t xml:space="preserve">и)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дня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сертификации,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883" w:name="P883"/>
    <w:bookmarkEnd w:id="883"/>
    <w:p>
      <w:pPr>
        <w:pStyle w:val="0"/>
        <w:spacing w:before="200" w:lineRule="auto"/>
        <w:ind w:firstLine="540"/>
        <w:jc w:val="both"/>
      </w:pPr>
      <w:r>
        <w:rPr>
          <w:sz w:val="20"/>
        </w:rPr>
        <w:t xml:space="preserve">3.5.6.3. Центр сертификации должен обеспечивать предоставление субъектам МСП следующих услуг:</w:t>
      </w:r>
    </w:p>
    <w:bookmarkStart w:id="884" w:name="P884"/>
    <w:bookmarkEnd w:id="884"/>
    <w:p>
      <w:pPr>
        <w:pStyle w:val="0"/>
        <w:spacing w:before="200" w:lineRule="auto"/>
        <w:ind w:firstLine="540"/>
        <w:jc w:val="both"/>
      </w:pPr>
      <w:r>
        <w:rPr>
          <w:sz w:val="20"/>
        </w:rPr>
        <w:t xml:space="preserve">а) услуга скоринга;</w:t>
      </w:r>
    </w:p>
    <w:bookmarkStart w:id="885" w:name="P885"/>
    <w:bookmarkEnd w:id="885"/>
    <w:p>
      <w:pPr>
        <w:pStyle w:val="0"/>
        <w:spacing w:before="200" w:lineRule="auto"/>
        <w:ind w:firstLine="540"/>
        <w:jc w:val="both"/>
      </w:pPr>
      <w:r>
        <w:rPr>
          <w:sz w:val="20"/>
        </w:rPr>
        <w:t xml:space="preserve">б) консультирование об услугах центра сертификации;</w:t>
      </w:r>
    </w:p>
    <w:p>
      <w:pPr>
        <w:pStyle w:val="0"/>
        <w:spacing w:before="200" w:lineRule="auto"/>
        <w:ind w:firstLine="540"/>
        <w:jc w:val="both"/>
      </w:pPr>
      <w:r>
        <w:rPr>
          <w:sz w:val="20"/>
        </w:rPr>
        <w:t xml:space="preserve">в) проведение исследований (испытаний) и измерения продукции в своей области аккредитации;</w:t>
      </w:r>
    </w:p>
    <w:p>
      <w:pPr>
        <w:pStyle w:val="0"/>
        <w:spacing w:before="200" w:lineRule="auto"/>
        <w:ind w:firstLine="540"/>
        <w:jc w:val="both"/>
      </w:pPr>
      <w:r>
        <w:rPr>
          <w:sz w:val="20"/>
        </w:rPr>
        <w:t xml:space="preserve">г) предоставление в аренду (пользование) оборудования центра сертификации на принципах коллективного доступа для проведения исследовательских и испытательных работ;</w:t>
      </w:r>
    </w:p>
    <w:p>
      <w:pPr>
        <w:pStyle w:val="0"/>
        <w:spacing w:before="200" w:lineRule="auto"/>
        <w:ind w:firstLine="540"/>
        <w:jc w:val="both"/>
      </w:pPr>
      <w:r>
        <w:rPr>
          <w:sz w:val="20"/>
        </w:rPr>
        <w:t xml:space="preserve">д) проведение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p>
      <w:pPr>
        <w:pStyle w:val="0"/>
        <w:spacing w:before="200" w:lineRule="auto"/>
        <w:ind w:firstLine="540"/>
        <w:jc w:val="both"/>
      </w:pPr>
      <w:r>
        <w:rPr>
          <w:sz w:val="20"/>
        </w:rPr>
        <w:t xml:space="preserve">е) декларирование товаров, работ, услуг, производственных процессов, необходимых для участия в проектах по локализации промышленного производства;</w:t>
      </w:r>
    </w:p>
    <w:p>
      <w:pPr>
        <w:pStyle w:val="0"/>
        <w:spacing w:before="200" w:lineRule="auto"/>
        <w:ind w:firstLine="540"/>
        <w:jc w:val="both"/>
      </w:pPr>
      <w:r>
        <w:rPr>
          <w:sz w:val="20"/>
        </w:rPr>
        <w:t xml:space="preserve">ж) консультирование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p>
      <w:pPr>
        <w:pStyle w:val="0"/>
        <w:spacing w:before="200" w:lineRule="auto"/>
        <w:ind w:firstLine="540"/>
        <w:jc w:val="both"/>
      </w:pPr>
      <w:r>
        <w:rPr>
          <w:sz w:val="20"/>
        </w:rPr>
        <w:t xml:space="preserve">з) иные услуги технологического характера в соответствии со специализацией центра сертификации.</w:t>
      </w:r>
    </w:p>
    <w:p>
      <w:pPr>
        <w:pStyle w:val="0"/>
        <w:spacing w:before="200" w:lineRule="auto"/>
        <w:ind w:firstLine="540"/>
        <w:jc w:val="both"/>
      </w:pPr>
      <w:r>
        <w:rPr>
          <w:sz w:val="20"/>
        </w:rPr>
        <w:t xml:space="preserve">3.5.6.3.1. Услуги центра сертификации, указанные в </w:t>
      </w:r>
      <w:hyperlink w:history="0" w:anchor="P883" w:tooltip="3.5.6.3. Центр сертификации должен обеспечивать предоставление субъектам МСП следующих услуг:">
        <w:r>
          <w:rPr>
            <w:sz w:val="20"/>
            <w:color w:val="0000ff"/>
          </w:rPr>
          <w:t xml:space="preserve">подпункте 3.5.6.3 пункта 3</w:t>
        </w:r>
      </w:hyperlink>
      <w:r>
        <w:rPr>
          <w:sz w:val="20"/>
        </w:rPr>
        <w:t xml:space="preserve"> настоящих Требований, должны предоставляться субъектам МСП на платной основе или частично платной основе, или на бесплатной основе, (за исключением услуг центра сертификации, указанных в </w:t>
      </w:r>
      <w:hyperlink w:history="0" w:anchor="P884" w:tooltip="а) услуга скоринга;">
        <w:r>
          <w:rPr>
            <w:sz w:val="20"/>
            <w:color w:val="0000ff"/>
          </w:rPr>
          <w:t xml:space="preserve">подпунктах "а"</w:t>
        </w:r>
      </w:hyperlink>
      <w:r>
        <w:rPr>
          <w:sz w:val="20"/>
        </w:rPr>
        <w:t xml:space="preserve"> и </w:t>
      </w:r>
      <w:hyperlink w:history="0" w:anchor="P885" w:tooltip="б) консультирование об услугах центра сертификации;">
        <w:r>
          <w:rPr>
            <w:sz w:val="20"/>
            <w:color w:val="0000ff"/>
          </w:rPr>
          <w:t xml:space="preserve">"б" подпункта 3.5.6.3 пункта 3</w:t>
        </w:r>
      </w:hyperlink>
      <w:r>
        <w:rPr>
          <w:sz w:val="20"/>
        </w:rPr>
        <w:t xml:space="preserve"> настоящих Требований, которые предоставляются субъектам МСП на бесплатной основе)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3.5.6.4. При привлечении сторонних организаций в процессе проведения отбора поставщиков услуг центр сертификации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00" w:lineRule="auto"/>
        <w:ind w:firstLine="540"/>
        <w:jc w:val="both"/>
      </w:pPr>
      <w:r>
        <w:rPr>
          <w:sz w:val="20"/>
        </w:rPr>
        <w:t xml:space="preserve">3.5.6.5. Центр сертификации должен обеспечивать размещение и ежемесячное обновление (актуализацию) в специальном разделе центра сертификации на сайте центра "Мой бизнес" следующей информации:</w:t>
      </w:r>
    </w:p>
    <w:p>
      <w:pPr>
        <w:pStyle w:val="0"/>
        <w:spacing w:before="200" w:lineRule="auto"/>
        <w:ind w:firstLine="540"/>
        <w:jc w:val="both"/>
      </w:pPr>
      <w:r>
        <w:rPr>
          <w:sz w:val="20"/>
        </w:rPr>
        <w:t xml:space="preserve">а) сведения о центре сертификации;</w:t>
      </w:r>
    </w:p>
    <w:p>
      <w:pPr>
        <w:pStyle w:val="0"/>
        <w:spacing w:before="200" w:lineRule="auto"/>
        <w:ind w:firstLine="540"/>
        <w:jc w:val="both"/>
      </w:pPr>
      <w:r>
        <w:rPr>
          <w:sz w:val="20"/>
        </w:rPr>
        <w:t xml:space="preserve">б) сведения об учредителях центра сертификации (юридического лица, структурным подразделением которого является центр сертификации);</w:t>
      </w:r>
    </w:p>
    <w:p>
      <w:pPr>
        <w:pStyle w:val="0"/>
        <w:spacing w:before="200" w:lineRule="auto"/>
        <w:ind w:firstLine="540"/>
        <w:jc w:val="both"/>
      </w:pPr>
      <w:r>
        <w:rPr>
          <w:sz w:val="20"/>
        </w:rPr>
        <w:t xml:space="preserve">в) сведения о деятельности центра сертификации, его целях и задачах, а также оказываемых им услугах, в том числе стоимости услуг;</w:t>
      </w:r>
    </w:p>
    <w:p>
      <w:pPr>
        <w:pStyle w:val="0"/>
        <w:spacing w:before="200" w:lineRule="auto"/>
        <w:ind w:firstLine="540"/>
        <w:jc w:val="both"/>
      </w:pPr>
      <w:r>
        <w:rPr>
          <w:sz w:val="20"/>
        </w:rPr>
        <w:t xml:space="preserve">г) о составе, технических характеристиках и условиях доступа к высокотехнологичному оборудованию центра сертификации;</w:t>
      </w:r>
    </w:p>
    <w:p>
      <w:pPr>
        <w:pStyle w:val="0"/>
        <w:spacing w:before="200" w:lineRule="auto"/>
        <w:ind w:firstLine="540"/>
        <w:jc w:val="both"/>
      </w:pPr>
      <w:r>
        <w:rPr>
          <w:sz w:val="20"/>
        </w:rPr>
        <w:t xml:space="preserve">д) годовые отчеты о деятельности центра сертификации;</w:t>
      </w:r>
    </w:p>
    <w:p>
      <w:pPr>
        <w:pStyle w:val="0"/>
        <w:spacing w:before="200" w:lineRule="auto"/>
        <w:ind w:firstLine="540"/>
        <w:jc w:val="both"/>
      </w:pPr>
      <w:r>
        <w:rPr>
          <w:sz w:val="20"/>
        </w:rPr>
        <w:t xml:space="preserve">е) разработанные документы: концепцию, программу развития центра сертификации, стратегию развития центра сертификации, бизнес-планы развития центра сертификации;</w:t>
      </w:r>
    </w:p>
    <w:p>
      <w:pPr>
        <w:pStyle w:val="0"/>
        <w:spacing w:before="200" w:lineRule="auto"/>
        <w:ind w:firstLine="540"/>
        <w:jc w:val="both"/>
      </w:pPr>
      <w:r>
        <w:rPr>
          <w:sz w:val="20"/>
        </w:rPr>
        <w:t xml:space="preserve">ж) информация о стоимости платных услуг, предоставляемых центром сертификации.</w:t>
      </w:r>
    </w:p>
    <w:p>
      <w:pPr>
        <w:pStyle w:val="0"/>
        <w:spacing w:before="200" w:lineRule="auto"/>
        <w:ind w:firstLine="540"/>
        <w:jc w:val="both"/>
      </w:pPr>
      <w:r>
        <w:rPr>
          <w:sz w:val="20"/>
        </w:rPr>
        <w:t xml:space="preserve">3.5.6.6. Центр сертификации должен располагаться в помещении, соответствующем следующим критериям:</w:t>
      </w:r>
    </w:p>
    <w:p>
      <w:pPr>
        <w:pStyle w:val="0"/>
        <w:spacing w:before="200" w:lineRule="auto"/>
        <w:ind w:firstLine="540"/>
        <w:jc w:val="both"/>
      </w:pPr>
      <w:r>
        <w:rPr>
          <w:sz w:val="20"/>
        </w:rPr>
        <w:t xml:space="preserve">а) площадь не менее 120 кв. метров;</w:t>
      </w:r>
    </w:p>
    <w:p>
      <w:pPr>
        <w:pStyle w:val="0"/>
        <w:spacing w:before="200" w:lineRule="auto"/>
        <w:ind w:firstLine="540"/>
        <w:jc w:val="both"/>
      </w:pPr>
      <w:r>
        <w:rPr>
          <w:sz w:val="20"/>
        </w:rPr>
        <w:t xml:space="preserve">б) входная группа, а также внутренняя организация помещения (дверные проемы, коридоры) обеспечивают беспрепятственный доступ для лиц с ограниченными возможностями передвижения;</w:t>
      </w:r>
    </w:p>
    <w:p>
      <w:pPr>
        <w:pStyle w:val="0"/>
        <w:spacing w:before="200" w:lineRule="auto"/>
        <w:ind w:firstLine="540"/>
        <w:jc w:val="both"/>
      </w:pPr>
      <w:r>
        <w:rPr>
          <w:sz w:val="20"/>
        </w:rPr>
        <w:t xml:space="preserve">в) помещение не располагается в подвальном помещении;</w:t>
      </w:r>
    </w:p>
    <w:p>
      <w:pPr>
        <w:pStyle w:val="0"/>
        <w:spacing w:before="200" w:lineRule="auto"/>
        <w:ind w:firstLine="540"/>
        <w:jc w:val="both"/>
      </w:pPr>
      <w:r>
        <w:rPr>
          <w:sz w:val="20"/>
        </w:rPr>
        <w:t xml:space="preserve">г) помещение не располагается в строении, имеющем повреждения несущих конструкций.</w:t>
      </w:r>
    </w:p>
    <w:p>
      <w:pPr>
        <w:pStyle w:val="0"/>
        <w:spacing w:before="200" w:lineRule="auto"/>
        <w:ind w:firstLine="540"/>
        <w:jc w:val="both"/>
      </w:pPr>
      <w:r>
        <w:rPr>
          <w:sz w:val="20"/>
        </w:rPr>
        <w:t xml:space="preserve">3.5.6.7. Руководитель центра сертификации должен иметь:</w:t>
      </w:r>
    </w:p>
    <w:p>
      <w:pPr>
        <w:pStyle w:val="0"/>
        <w:spacing w:before="200" w:lineRule="auto"/>
        <w:ind w:firstLine="540"/>
        <w:jc w:val="both"/>
      </w:pPr>
      <w:r>
        <w:rPr>
          <w:sz w:val="20"/>
        </w:rPr>
        <w:t xml:space="preserve">а) гражданство Российской Федерации;</w:t>
      </w:r>
    </w:p>
    <w:p>
      <w:pPr>
        <w:pStyle w:val="0"/>
        <w:spacing w:before="200" w:lineRule="auto"/>
        <w:ind w:firstLine="540"/>
        <w:jc w:val="both"/>
      </w:pPr>
      <w:r>
        <w:rPr>
          <w:sz w:val="20"/>
        </w:rPr>
        <w:t xml:space="preserve">б) высшее образование и пройти повышение квалификации в области управления;</w:t>
      </w:r>
    </w:p>
    <w:p>
      <w:pPr>
        <w:pStyle w:val="0"/>
        <w:spacing w:before="200" w:lineRule="auto"/>
        <w:ind w:firstLine="540"/>
        <w:jc w:val="both"/>
      </w:pPr>
      <w:r>
        <w:rPr>
          <w:sz w:val="20"/>
        </w:rPr>
        <w:t xml:space="preserve">в) опыт работы на руководящих должностях не менее 5 лет или опыт работы в центре сертификации или других организациях инновационно-производственной инфраструктуры поддержки субъектов МСП не менее 3 лет;</w:t>
      </w:r>
    </w:p>
    <w:p>
      <w:pPr>
        <w:pStyle w:val="0"/>
        <w:spacing w:before="200" w:lineRule="auto"/>
        <w:ind w:firstLine="540"/>
        <w:jc w:val="both"/>
      </w:pPr>
      <w:r>
        <w:rPr>
          <w:sz w:val="20"/>
        </w:rPr>
        <w:t xml:space="preserve">г) удостоверения, подтверждающие ежегодное прохождение повышения квалификации, в том числе в сфере проектного управления.</w:t>
      </w:r>
    </w:p>
    <w:bookmarkStart w:id="912" w:name="P912"/>
    <w:bookmarkEnd w:id="912"/>
    <w:p>
      <w:pPr>
        <w:pStyle w:val="0"/>
        <w:spacing w:before="200" w:lineRule="auto"/>
        <w:ind w:firstLine="540"/>
        <w:jc w:val="both"/>
      </w:pPr>
      <w:r>
        <w:rPr>
          <w:sz w:val="20"/>
        </w:rPr>
        <w:t xml:space="preserve">3.5.6.8. Центр сертификации должен иметь в штате квалифицированных специалистов в области аккредитации.</w:t>
      </w:r>
    </w:p>
    <w:p>
      <w:pPr>
        <w:pStyle w:val="0"/>
        <w:spacing w:before="200" w:lineRule="auto"/>
        <w:ind w:firstLine="540"/>
        <w:jc w:val="both"/>
      </w:pPr>
      <w:r>
        <w:rPr>
          <w:sz w:val="20"/>
        </w:rPr>
        <w:t xml:space="preserve">3.5.7. Требованиями к предоставлению субсидии на создание и (или) развитие ЦКР являются:</w:t>
      </w:r>
    </w:p>
    <w:p>
      <w:pPr>
        <w:pStyle w:val="0"/>
        <w:spacing w:before="200" w:lineRule="auto"/>
        <w:ind w:firstLine="540"/>
        <w:jc w:val="both"/>
      </w:pPr>
      <w:r>
        <w:rPr>
          <w:sz w:val="20"/>
        </w:rPr>
        <w:t xml:space="preserve">а) наличие на территории субъекта Российской Федерации ЦКР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ЦКР в соответствии с требованиями, установленными </w:t>
      </w:r>
      <w:hyperlink w:history="0" w:anchor="P921" w:tooltip="3.5.7.1. ЦКР должен соответствовать следующим требованиям:">
        <w:r>
          <w:rPr>
            <w:sz w:val="20"/>
            <w:color w:val="0000ff"/>
          </w:rPr>
          <w:t xml:space="preserve">подпунктами 3.5.7.1</w:t>
        </w:r>
      </w:hyperlink>
      <w:r>
        <w:rPr>
          <w:sz w:val="20"/>
        </w:rPr>
        <w:t xml:space="preserve"> - </w:t>
      </w:r>
      <w:hyperlink w:history="0" w:anchor="P1013" w:tooltip="3.5.7.14. В случае приобретения технологического оборудования (а также использования такого оборудования как оборудования коллективного доступа) в штате ЦКР должно быть не менее 1 сотрудника, имеющего техническое (инженерное) образование для организации предоставления услуг и обслуживания оборудования.">
        <w:r>
          <w:rPr>
            <w:sz w:val="20"/>
            <w:color w:val="0000ff"/>
          </w:rPr>
          <w:t xml:space="preserve">3.5.7.14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ЦКР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листов формата A4);</w:t>
      </w:r>
    </w:p>
    <w:p>
      <w:pPr>
        <w:pStyle w:val="0"/>
        <w:spacing w:before="200" w:lineRule="auto"/>
        <w:ind w:firstLine="540"/>
        <w:jc w:val="both"/>
      </w:pPr>
      <w:r>
        <w:rPr>
          <w:sz w:val="20"/>
        </w:rPr>
        <w:t xml:space="preserve">г) наличие стратегий (программ) создания и (или) развития территориальных кластеров, которые включают в себя совокупность скоординированных по целям, срокам основных мероприятий, а также целевых показателей их эффективности, к реализации которых привлечены участники территориальных кластеров, к которым относятся производственные предприятия, предприятия - поставщики оборудования, комплектующих производственных и сервисных услуг, научные, образовательные организации, организации в сфере креативных индустрий, иные участники в зависимости от отраслевой принадлежности кластера,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Стратегии (программы) создания и (или) развития территориальных кластеров утверждаются актом высшего исполнительного органа власти субъекта Российской Федерации и определяют приоритеты, цели, задачи, перечень основных мероприятий по развитию территориального кластера, совместные проекты участников территориальных кластеров (далее - стратегии (программы) создания и (или) развития территориального кластера), на поддержку которых планируется расходование средств субсидии федерального бюджета и бюджета субъекта Российской Федерации;</w:t>
      </w:r>
    </w:p>
    <w:p>
      <w:pPr>
        <w:pStyle w:val="0"/>
        <w:spacing w:before="200" w:lineRule="auto"/>
        <w:ind w:firstLine="540"/>
        <w:jc w:val="both"/>
      </w:pPr>
      <w:r>
        <w:rPr>
          <w:sz w:val="20"/>
        </w:rPr>
        <w:t xml:space="preserve">д) наличие направлений расходования средств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е) наличие ключевых показателей эффективности деятельности ЦКР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ж) наличие обязательства субъекта Российской Федерации обеспечить функционирование ЦКР в течение не менее 10 лет со дня его создания за счет субсидии.</w:t>
      </w:r>
    </w:p>
    <w:bookmarkStart w:id="921" w:name="P921"/>
    <w:bookmarkEnd w:id="921"/>
    <w:p>
      <w:pPr>
        <w:pStyle w:val="0"/>
        <w:spacing w:before="200" w:lineRule="auto"/>
        <w:ind w:firstLine="540"/>
        <w:jc w:val="both"/>
      </w:pPr>
      <w:r>
        <w:rPr>
          <w:sz w:val="20"/>
        </w:rPr>
        <w:t xml:space="preserve">3.5.7.1. ЦКР должен соответствовать следующим требованиям:</w:t>
      </w:r>
    </w:p>
    <w:p>
      <w:pPr>
        <w:pStyle w:val="0"/>
        <w:spacing w:before="200" w:lineRule="auto"/>
        <w:ind w:firstLine="540"/>
        <w:jc w:val="both"/>
      </w:pPr>
      <w:r>
        <w:rPr>
          <w:sz w:val="20"/>
        </w:rPr>
        <w:t xml:space="preserve">а) учитывать цели и задачи социально-экономического развития Российской Федерации, сформулированные в государственных программах Российской Федерации, в том числе в государственной </w:t>
      </w:r>
      <w:hyperlink w:history="0" r:id="rId67"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программе</w:t>
        </w:r>
      </w:hyperlink>
      <w:r>
        <w:rPr>
          <w:sz w:val="20"/>
        </w:rPr>
        <w:t xml:space="preserve"> "Экономическое развитие и инновационная экономика", и субъекта Российской Федерации, сформулированные в государственных программах (подпрограммах) субъекта Российской Федерации;</w:t>
      </w:r>
    </w:p>
    <w:p>
      <w:pPr>
        <w:pStyle w:val="0"/>
        <w:spacing w:before="200" w:lineRule="auto"/>
        <w:ind w:firstLine="540"/>
        <w:jc w:val="both"/>
      </w:pPr>
      <w:r>
        <w:rPr>
          <w:sz w:val="20"/>
        </w:rPr>
        <w:t xml:space="preserve">б)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в соответствии с настоящими Требованиями, а также иными организациями, образующими инфраструктуру поддержки субъектов МСП, институтами развития, управляющими компаниями (органами управления) территориальных, в том числе промышленных кластеров, промышленными предприятиями, региональной инфраструктурой поддержки инноваций, промышленности, инвестиций, креативных индустрий, центрами научно-технических разработок и малыми инновационными предприятиями при высших учебных заведениях, иными объединениями и организациями;</w:t>
      </w:r>
    </w:p>
    <w:p>
      <w:pPr>
        <w:pStyle w:val="0"/>
        <w:spacing w:before="200" w:lineRule="auto"/>
        <w:ind w:firstLine="540"/>
        <w:jc w:val="both"/>
      </w:pPr>
      <w:r>
        <w:rPr>
          <w:sz w:val="20"/>
        </w:rPr>
        <w:t xml:space="preserve">в)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г) обеспечивать ведение раздельного бухгалтерского учета по денежным средствам, предоставленным ЦКР за счет средств бюджетов всех уровней и внебюджетных источников;</w:t>
      </w:r>
    </w:p>
    <w:p>
      <w:pPr>
        <w:pStyle w:val="0"/>
        <w:spacing w:before="200" w:lineRule="auto"/>
        <w:ind w:firstLine="540"/>
        <w:jc w:val="both"/>
      </w:pPr>
      <w:r>
        <w:rPr>
          <w:sz w:val="20"/>
        </w:rPr>
        <w:t xml:space="preserve">д) разрабатывать концепцию развития ЦКР на среднесрочный плановый период (не менее 3 лет) и план деятельности ЦКР на очередной год;</w:t>
      </w:r>
    </w:p>
    <w:p>
      <w:pPr>
        <w:pStyle w:val="0"/>
        <w:spacing w:before="200" w:lineRule="auto"/>
        <w:ind w:firstLine="540"/>
        <w:jc w:val="both"/>
      </w:pPr>
      <w:r>
        <w:rPr>
          <w:sz w:val="20"/>
        </w:rPr>
        <w:t xml:space="preserve">е) привлекать в целях осуществления деятельности специализированные организации и квалифицированных специалистов;</w:t>
      </w:r>
    </w:p>
    <w:p>
      <w:pPr>
        <w:pStyle w:val="0"/>
        <w:spacing w:before="200" w:lineRule="auto"/>
        <w:ind w:firstLine="540"/>
        <w:jc w:val="both"/>
      </w:pPr>
      <w:r>
        <w:rPr>
          <w:sz w:val="20"/>
        </w:rPr>
        <w:t xml:space="preserve">ж) осуществлять распространение информации о деятельности ЦКР и его услугах посредством размещения информации в специальном разделе ЦКР на сайте центра "Мой бизнес", курируемых территориальных кластерах, участниках территориальных кластеров и совместных проектах, реализуемых участниками территориального кластера и направленных на развитие участников территориального кластера (далее - совместный проект),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 и организации участия ЦКР и участников территориальных кластеров в конгрессно-выставочных мероприятиях;</w:t>
      </w:r>
    </w:p>
    <w:p>
      <w:pPr>
        <w:pStyle w:val="0"/>
        <w:spacing w:before="200" w:lineRule="auto"/>
        <w:ind w:firstLine="540"/>
        <w:jc w:val="both"/>
      </w:pPr>
      <w:r>
        <w:rPr>
          <w:sz w:val="20"/>
        </w:rPr>
        <w:t xml:space="preserve">з) формировать реестр региональных производственных и инновационных малых и средних предприятий - получателей государственной поддержки;</w:t>
      </w:r>
    </w:p>
    <w:p>
      <w:pPr>
        <w:pStyle w:val="0"/>
        <w:spacing w:before="200" w:lineRule="auto"/>
        <w:ind w:firstLine="540"/>
        <w:jc w:val="both"/>
      </w:pPr>
      <w:r>
        <w:rPr>
          <w:sz w:val="20"/>
        </w:rPr>
        <w:t xml:space="preserve">и) обеспечивать наличие не менее 1 рабочего места для специалистов ЦКР, оборудованного мебелью, компьютером, принтером и телефоном с выходом на городскую линию и междугородную связь и обеспеченного доступом к сети "Интернет";</w:t>
      </w:r>
    </w:p>
    <w:p>
      <w:pPr>
        <w:pStyle w:val="0"/>
        <w:spacing w:before="200" w:lineRule="auto"/>
        <w:ind w:firstLine="540"/>
        <w:jc w:val="both"/>
      </w:pPr>
      <w:r>
        <w:rPr>
          <w:sz w:val="20"/>
        </w:rPr>
        <w:t xml:space="preserve">к) обеспечивать наличие специального раздела ЦКР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ЦКР;</w:t>
      </w:r>
    </w:p>
    <w:p>
      <w:pPr>
        <w:pStyle w:val="0"/>
        <w:spacing w:before="200" w:lineRule="auto"/>
        <w:ind w:firstLine="540"/>
        <w:jc w:val="both"/>
      </w:pPr>
      <w:r>
        <w:rPr>
          <w:sz w:val="20"/>
        </w:rPr>
        <w:t xml:space="preserve">формирование заявления (заявки) о предоставлении услуги ЦКР в форме электронного документа;</w:t>
      </w:r>
    </w:p>
    <w:p>
      <w:pPr>
        <w:pStyle w:val="0"/>
        <w:spacing w:before="200" w:lineRule="auto"/>
        <w:ind w:firstLine="540"/>
        <w:jc w:val="both"/>
      </w:pPr>
      <w:r>
        <w:rPr>
          <w:sz w:val="20"/>
        </w:rPr>
        <w:t xml:space="preserve">размещение информации об успешных практиках развития участников территориальных кластеров, получивших поддержку;</w:t>
      </w:r>
    </w:p>
    <w:p>
      <w:pPr>
        <w:pStyle w:val="0"/>
        <w:spacing w:before="200" w:lineRule="auto"/>
        <w:ind w:firstLine="540"/>
        <w:jc w:val="both"/>
      </w:pPr>
      <w:r>
        <w:rPr>
          <w:sz w:val="20"/>
        </w:rPr>
        <w:t xml:space="preserve">информацию о совместных кластерных проектах;</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ЦКР в электронном виде с использованием ЦП МСП;</w:t>
      </w:r>
    </w:p>
    <w:p>
      <w:pPr>
        <w:pStyle w:val="0"/>
        <w:spacing w:before="200" w:lineRule="auto"/>
        <w:ind w:firstLine="540"/>
        <w:jc w:val="both"/>
      </w:pPr>
      <w:r>
        <w:rPr>
          <w:sz w:val="20"/>
        </w:rPr>
        <w:t xml:space="preserve">л)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м) обеспечивать внесение и актуализацию общих сведений о ЦКР на ЦП МСП;</w:t>
      </w:r>
    </w:p>
    <w:p>
      <w:pPr>
        <w:pStyle w:val="0"/>
        <w:spacing w:before="200" w:lineRule="auto"/>
        <w:ind w:firstLine="540"/>
        <w:jc w:val="both"/>
      </w:pPr>
      <w:r>
        <w:rPr>
          <w:sz w:val="20"/>
        </w:rPr>
        <w:t xml:space="preserve">н) обеспечивать публикацию на ЦП МСП сведений об услугах (мерах поддержки), в том числе стандартизированных, оказываемых ЦКР, на ЦП МСП, а также об оказанных услугах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о) обеспечивать оказание услуг и мер поддержки в соответствии с функционалом ЦП МСП в случае подачи заявки с использованием ЦП МСП;</w:t>
      </w:r>
    </w:p>
    <w:p>
      <w:pPr>
        <w:pStyle w:val="0"/>
        <w:spacing w:before="200" w:lineRule="auto"/>
        <w:ind w:firstLine="540"/>
        <w:jc w:val="both"/>
      </w:pPr>
      <w:r>
        <w:rPr>
          <w:sz w:val="20"/>
        </w:rPr>
        <w:t xml:space="preserve">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ЦКР в многофункциональных центрах для бизнеса (в случае если ЦКР - отдельное юридическое лицо);</w:t>
      </w:r>
    </w:p>
    <w:p>
      <w:pPr>
        <w:pStyle w:val="0"/>
        <w:spacing w:before="200" w:lineRule="auto"/>
        <w:ind w:firstLine="540"/>
        <w:jc w:val="both"/>
      </w:pPr>
      <w:r>
        <w:rPr>
          <w:sz w:val="20"/>
        </w:rPr>
        <w:t xml:space="preserve">р)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 в случае если ЦКР определен в соответствии с настоящими Требованиями в качестве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с)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ЦКР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3.5.7.2. ЦКР в рамках деятельности должен обеспечивать:</w:t>
      </w:r>
    </w:p>
    <w:p>
      <w:pPr>
        <w:pStyle w:val="0"/>
        <w:spacing w:before="200" w:lineRule="auto"/>
        <w:ind w:firstLine="540"/>
        <w:jc w:val="both"/>
      </w:pPr>
      <w:r>
        <w:rPr>
          <w:sz w:val="20"/>
        </w:rPr>
        <w:t xml:space="preserve">а) проведение анализа потенциала субъекта Российской Федерации в части создания и развития территориальных кластеров;</w:t>
      </w:r>
    </w:p>
    <w:p>
      <w:pPr>
        <w:pStyle w:val="0"/>
        <w:spacing w:before="200" w:lineRule="auto"/>
        <w:ind w:firstLine="540"/>
        <w:jc w:val="both"/>
      </w:pPr>
      <w:r>
        <w:rPr>
          <w:sz w:val="20"/>
        </w:rPr>
        <w:t xml:space="preserve">б) осуществление разработки проектов стратегий (программ) создания и (или) развития территориальных кластеров, планов мероприятий ("дорожных карт") по созданию (развитию) территориальных кластеров;</w:t>
      </w:r>
    </w:p>
    <w:p>
      <w:pPr>
        <w:pStyle w:val="0"/>
        <w:spacing w:before="200" w:lineRule="auto"/>
        <w:ind w:firstLine="540"/>
        <w:jc w:val="both"/>
      </w:pPr>
      <w:r>
        <w:rPr>
          <w:sz w:val="20"/>
        </w:rPr>
        <w:t xml:space="preserve">в) согласование перечня (или проведение закупки) специализированного оборудования коллективного пользования и (или) программного обеспечения для оказания услуг участникам кластера или услуг аренды;</w:t>
      </w:r>
    </w:p>
    <w:p>
      <w:pPr>
        <w:pStyle w:val="0"/>
        <w:spacing w:before="200" w:lineRule="auto"/>
        <w:ind w:firstLine="540"/>
        <w:jc w:val="both"/>
      </w:pPr>
      <w:r>
        <w:rPr>
          <w:sz w:val="20"/>
        </w:rPr>
        <w:t xml:space="preserve">г) осуществление разработки и реализации инвестиционных программ и проектов развития территориальных кластеров, разработки технико-экономических обоснований проектов и программ;</w:t>
      </w:r>
    </w:p>
    <w:p>
      <w:pPr>
        <w:pStyle w:val="0"/>
        <w:spacing w:before="200" w:lineRule="auto"/>
        <w:ind w:firstLine="540"/>
        <w:jc w:val="both"/>
      </w:pPr>
      <w:r>
        <w:rPr>
          <w:sz w:val="20"/>
        </w:rPr>
        <w:t xml:space="preserve">д) проведение мониторинга состояния инновационного, научного, производственного, финансово-экономического потенциала территориальных кластеров и актуализации стратегий (программ) развития территориальных кластеров;</w:t>
      </w:r>
    </w:p>
    <w:p>
      <w:pPr>
        <w:pStyle w:val="0"/>
        <w:spacing w:before="200" w:lineRule="auto"/>
        <w:ind w:firstLine="540"/>
        <w:jc w:val="both"/>
      </w:pPr>
      <w:r>
        <w:rPr>
          <w:sz w:val="20"/>
        </w:rPr>
        <w:t xml:space="preserve">е) предоставление участникам территориальных кластеров, являющимся субъектами МСП, услуг, указанных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0"/>
            <w:color w:val="0000ff"/>
          </w:rPr>
          <w:t xml:space="preserve">подпункте 3.5.7.3 пункта 3</w:t>
        </w:r>
      </w:hyperlink>
      <w:r>
        <w:rPr>
          <w:sz w:val="20"/>
        </w:rPr>
        <w:t xml:space="preserve"> настоящих Требований;</w:t>
      </w:r>
    </w:p>
    <w:p>
      <w:pPr>
        <w:pStyle w:val="0"/>
        <w:spacing w:before="200" w:lineRule="auto"/>
        <w:ind w:firstLine="540"/>
        <w:jc w:val="both"/>
      </w:pPr>
      <w:r>
        <w:rPr>
          <w:sz w:val="20"/>
        </w:rPr>
        <w:t xml:space="preserve">ж) осуществление организационного проектирования цепочек взаимодействия между участниками территориальных кластеров;</w:t>
      </w:r>
    </w:p>
    <w:p>
      <w:pPr>
        <w:pStyle w:val="0"/>
        <w:spacing w:before="200" w:lineRule="auto"/>
        <w:ind w:firstLine="540"/>
        <w:jc w:val="both"/>
      </w:pPr>
      <w:r>
        <w:rPr>
          <w:sz w:val="20"/>
        </w:rPr>
        <w:t xml:space="preserve">з) разработку и продвижение брендов территориальных кластеров (средств индивидуализации территориальных кластеров, товаров, работ, услуг и иных обозначений, предназначенных для идентификации территориальных кластеров);</w:t>
      </w:r>
    </w:p>
    <w:p>
      <w:pPr>
        <w:pStyle w:val="0"/>
        <w:spacing w:before="200" w:lineRule="auto"/>
        <w:ind w:firstLine="540"/>
        <w:jc w:val="both"/>
      </w:pPr>
      <w:r>
        <w:rPr>
          <w:sz w:val="20"/>
        </w:rPr>
        <w:t xml:space="preserve">и) осуществление разработки и реализации совместных кластерных проектов участников территориальных или межрегиональных кластеров, учреждений образования и науки, предприятий сопутствующих отраслей, сервисных компаний, иных заинтересованных лиц и организаций;</w:t>
      </w:r>
    </w:p>
    <w:p>
      <w:pPr>
        <w:pStyle w:val="0"/>
        <w:spacing w:before="200" w:lineRule="auto"/>
        <w:ind w:firstLine="540"/>
        <w:jc w:val="both"/>
      </w:pPr>
      <w:r>
        <w:rPr>
          <w:sz w:val="20"/>
        </w:rPr>
        <w:t xml:space="preserve">к) осуществление разработки (или оказание содействия в разработке) и реализации кластерных проектов совместно с управляющими компаниями (органами управления) территориальных кластеров, участниками территориальных кластеров, учреждений образования и науки, иных заинтересованных лиц;</w:t>
      </w:r>
    </w:p>
    <w:p>
      <w:pPr>
        <w:pStyle w:val="0"/>
        <w:spacing w:before="200" w:lineRule="auto"/>
        <w:ind w:firstLine="540"/>
        <w:jc w:val="both"/>
      </w:pPr>
      <w:r>
        <w:rPr>
          <w:sz w:val="20"/>
        </w:rPr>
        <w:t xml:space="preserve">л) организацию семинаров, вебинаров, круглых столов для участников территориальных кластеров;</w:t>
      </w:r>
    </w:p>
    <w:p>
      <w:pPr>
        <w:pStyle w:val="0"/>
        <w:spacing w:before="200" w:lineRule="auto"/>
        <w:ind w:firstLine="540"/>
        <w:jc w:val="both"/>
      </w:pPr>
      <w:r>
        <w:rPr>
          <w:sz w:val="20"/>
        </w:rPr>
        <w:t xml:space="preserve">м) организацию обучения, стажировок и повышения квалификации руководителей и сотрудников ЦКР, а также субъектов МСП - участников территориальных кластеров;</w:t>
      </w:r>
    </w:p>
    <w:p>
      <w:pPr>
        <w:pStyle w:val="0"/>
        <w:spacing w:before="200" w:lineRule="auto"/>
        <w:ind w:firstLine="540"/>
        <w:jc w:val="both"/>
      </w:pPr>
      <w:r>
        <w:rPr>
          <w:sz w:val="20"/>
        </w:rPr>
        <w:t xml:space="preserve">н) проведение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p>
    <w:p>
      <w:pPr>
        <w:pStyle w:val="0"/>
        <w:spacing w:before="200" w:lineRule="auto"/>
        <w:ind w:firstLine="540"/>
        <w:jc w:val="both"/>
      </w:pPr>
      <w:r>
        <w:rPr>
          <w:sz w:val="20"/>
        </w:rPr>
        <w:t xml:space="preserve">о) создание и ведение базы данных организаций и квалифицированных специалистов, оказывающих услуги, связанные с выполнением ЦКР своей деятельности;</w:t>
      </w:r>
    </w:p>
    <w:p>
      <w:pPr>
        <w:pStyle w:val="0"/>
        <w:spacing w:before="200" w:lineRule="auto"/>
        <w:ind w:firstLine="540"/>
        <w:jc w:val="both"/>
      </w:pPr>
      <w:r>
        <w:rPr>
          <w:sz w:val="20"/>
        </w:rPr>
        <w:t xml:space="preserve">п) осуществление повышения осведомленности участников территориальных кластеров в вопросах создания,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результатов интеллектуальной деятельности и приравненных к ним средств индивидуализации;</w:t>
      </w:r>
    </w:p>
    <w:p>
      <w:pPr>
        <w:pStyle w:val="0"/>
        <w:spacing w:before="200" w:lineRule="auto"/>
        <w:ind w:firstLine="540"/>
        <w:jc w:val="both"/>
      </w:pPr>
      <w:r>
        <w:rPr>
          <w:sz w:val="20"/>
        </w:rPr>
        <w:t xml:space="preserve">р) осуществление продвижения информации об услугах ЦКР,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с) направление в единый орган управления организациями, образующими инфраструктуру поддержки субъектов МСП, ежеквартально, в срок не позднее 10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ЦКР,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964" w:name="P964"/>
    <w:bookmarkEnd w:id="964"/>
    <w:p>
      <w:pPr>
        <w:pStyle w:val="0"/>
        <w:spacing w:before="200" w:lineRule="auto"/>
        <w:ind w:firstLine="540"/>
        <w:jc w:val="both"/>
      </w:pPr>
      <w:r>
        <w:rPr>
          <w:sz w:val="20"/>
        </w:rPr>
        <w:t xml:space="preserve">3.5.7.3. ЦКР должен обеспечивать предоставление участникам территориальных кластеров, являющимся субъектами МСП, следующих услуг:</w:t>
      </w:r>
    </w:p>
    <w:bookmarkStart w:id="965" w:name="P965"/>
    <w:bookmarkEnd w:id="965"/>
    <w:p>
      <w:pPr>
        <w:pStyle w:val="0"/>
        <w:spacing w:before="200" w:lineRule="auto"/>
        <w:ind w:firstLine="540"/>
        <w:jc w:val="both"/>
      </w:pPr>
      <w:r>
        <w:rPr>
          <w:sz w:val="20"/>
        </w:rPr>
        <w:t xml:space="preserve">а) услуга скоринга;</w:t>
      </w:r>
    </w:p>
    <w:bookmarkStart w:id="966" w:name="P966"/>
    <w:bookmarkEnd w:id="966"/>
    <w:p>
      <w:pPr>
        <w:pStyle w:val="0"/>
        <w:spacing w:before="200" w:lineRule="auto"/>
        <w:ind w:firstLine="540"/>
        <w:jc w:val="both"/>
      </w:pPr>
      <w:r>
        <w:rPr>
          <w:sz w:val="20"/>
        </w:rPr>
        <w:t xml:space="preserve">б) консультирование об услугах ЦКР, в том числе в формате семинара, вебинара, круглого стола;</w:t>
      </w:r>
    </w:p>
    <w:p>
      <w:pPr>
        <w:pStyle w:val="0"/>
        <w:spacing w:before="200" w:lineRule="auto"/>
        <w:ind w:firstLine="540"/>
        <w:jc w:val="both"/>
      </w:pPr>
      <w:r>
        <w:rPr>
          <w:sz w:val="20"/>
        </w:rPr>
        <w:t xml:space="preserve">в) оказание содействия участникам территориальных кластеров при получении государственной поддержки;</w:t>
      </w:r>
    </w:p>
    <w:p>
      <w:pPr>
        <w:pStyle w:val="0"/>
        <w:spacing w:before="200" w:lineRule="auto"/>
        <w:ind w:firstLine="540"/>
        <w:jc w:val="both"/>
      </w:pPr>
      <w:r>
        <w:rPr>
          <w:sz w:val="20"/>
        </w:rPr>
        <w:t xml:space="preserve">г) оказание содействия в выводе на рынок новых продуктов (работ, услуг) участников территориальных кластеров;</w:t>
      </w:r>
    </w:p>
    <w:p>
      <w:pPr>
        <w:pStyle w:val="0"/>
        <w:spacing w:before="200" w:lineRule="auto"/>
        <w:ind w:firstLine="540"/>
        <w:jc w:val="both"/>
      </w:pPr>
      <w:r>
        <w:rPr>
          <w:sz w:val="20"/>
        </w:rPr>
        <w:t xml:space="preserve">д) организация бизнес-миссий для участников кластеров (стажировок, обмен опытом), обеспечение участия в мероприятиях на крупных российских и международных форумах, конгрессно-выставочных мероприятиях;</w:t>
      </w:r>
    </w:p>
    <w:p>
      <w:pPr>
        <w:pStyle w:val="0"/>
        <w:spacing w:before="200" w:lineRule="auto"/>
        <w:ind w:firstLine="540"/>
        <w:jc w:val="both"/>
      </w:pPr>
      <w:r>
        <w:rPr>
          <w:sz w:val="20"/>
        </w:rPr>
        <w:t xml:space="preserve">е) оказание услуг по позиционированию и продвижению товаров (работ, услуг);</w:t>
      </w:r>
    </w:p>
    <w:p>
      <w:pPr>
        <w:pStyle w:val="0"/>
        <w:spacing w:before="200" w:lineRule="auto"/>
        <w:ind w:firstLine="540"/>
        <w:jc w:val="both"/>
      </w:pPr>
      <w:r>
        <w:rPr>
          <w:sz w:val="20"/>
        </w:rPr>
        <w:t xml:space="preserve">ж) консультационные услуги по вопросам правового обеспечения деятельности субъектов МСП;</w:t>
      </w:r>
    </w:p>
    <w:p>
      <w:pPr>
        <w:pStyle w:val="0"/>
        <w:spacing w:before="200" w:lineRule="auto"/>
        <w:ind w:firstLine="540"/>
        <w:jc w:val="both"/>
      </w:pPr>
      <w:r>
        <w:rPr>
          <w:sz w:val="20"/>
        </w:rPr>
        <w:t xml:space="preserve">з) оказание маркетинговых услуг (проведение маркетинговых исследований, направленных на анализ различных рынков, исходя из потребностей участников территориальных кластеров);</w:t>
      </w:r>
    </w:p>
    <w:p>
      <w:pPr>
        <w:pStyle w:val="0"/>
        <w:spacing w:before="200" w:lineRule="auto"/>
        <w:ind w:firstLine="540"/>
        <w:jc w:val="both"/>
      </w:pPr>
      <w:r>
        <w:rPr>
          <w:sz w:val="20"/>
        </w:rPr>
        <w:t xml:space="preserve">и) оказание содействия в подготовке и реализации совместных проектов участников территориальных кластеров;</w:t>
      </w:r>
    </w:p>
    <w:p>
      <w:pPr>
        <w:pStyle w:val="0"/>
        <w:spacing w:before="200" w:lineRule="auto"/>
        <w:ind w:firstLine="540"/>
        <w:jc w:val="both"/>
      </w:pPr>
      <w:r>
        <w:rPr>
          <w:sz w:val="20"/>
        </w:rPr>
        <w:t xml:space="preserve">к) организация и проведение обучающих тренингов, семинаров с привлечением сторонних организаций и квалифицированных специалистов с целью обучения руководителей и сотрудников субъектов МСП;</w:t>
      </w:r>
    </w:p>
    <w:p>
      <w:pPr>
        <w:pStyle w:val="0"/>
        <w:spacing w:before="200" w:lineRule="auto"/>
        <w:ind w:firstLine="540"/>
        <w:jc w:val="both"/>
      </w:pPr>
      <w:r>
        <w:rPr>
          <w:sz w:val="20"/>
        </w:rPr>
        <w:t xml:space="preserve">л) оказание содействия в разработке программ развития территориальных кластеров, технико-экономических обоснований, планов-графиков мероприятий, иных документов, обеспечивающих деятельность территориальных кластеров;</w:t>
      </w:r>
    </w:p>
    <w:p>
      <w:pPr>
        <w:pStyle w:val="0"/>
        <w:spacing w:before="200" w:lineRule="auto"/>
        <w:ind w:firstLine="540"/>
        <w:jc w:val="both"/>
      </w:pPr>
      <w:r>
        <w:rPr>
          <w:sz w:val="20"/>
        </w:rPr>
        <w:t xml:space="preserve">м) оказание консалтинговых услуг по специализации отдельных участников территориальных кластеров;</w:t>
      </w:r>
    </w:p>
    <w:p>
      <w:pPr>
        <w:pStyle w:val="0"/>
        <w:spacing w:before="200" w:lineRule="auto"/>
        <w:ind w:firstLine="540"/>
        <w:jc w:val="both"/>
      </w:pPr>
      <w:r>
        <w:rPr>
          <w:sz w:val="20"/>
        </w:rPr>
        <w:t xml:space="preserve">н) проведение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w:t>
      </w:r>
    </w:p>
    <w:p>
      <w:pPr>
        <w:pStyle w:val="0"/>
        <w:spacing w:before="200" w:lineRule="auto"/>
        <w:ind w:firstLine="540"/>
        <w:jc w:val="both"/>
      </w:pPr>
      <w:r>
        <w:rPr>
          <w:sz w:val="20"/>
        </w:rPr>
        <w:t xml:space="preserve">о) оценка потенциала импортозамещения;</w:t>
      </w:r>
    </w:p>
    <w:p>
      <w:pPr>
        <w:pStyle w:val="0"/>
        <w:spacing w:before="200" w:lineRule="auto"/>
        <w:ind w:firstLine="540"/>
        <w:jc w:val="both"/>
      </w:pPr>
      <w:r>
        <w:rPr>
          <w:sz w:val="20"/>
        </w:rPr>
        <w:t xml:space="preserve">п) выявление и квалификационная оценка субъектов МСП для включения в программы развития поставщиков (исполнителей, подрядчиков), предусмотренные </w:t>
      </w:r>
      <w:hyperlink w:history="0" r:id="rId68"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статьей 16.1</w:t>
        </w:r>
      </w:hyperlink>
      <w:r>
        <w:rPr>
          <w:sz w:val="20"/>
        </w:rPr>
        <w:t xml:space="preserve"> Федерального закона N 209-ФЗ, и мероприятия по повышению производительности труда.</w:t>
      </w:r>
    </w:p>
    <w:bookmarkStart w:id="980" w:name="P980"/>
    <w:bookmarkEnd w:id="980"/>
    <w:p>
      <w:pPr>
        <w:pStyle w:val="0"/>
        <w:spacing w:before="200" w:lineRule="auto"/>
        <w:ind w:firstLine="540"/>
        <w:jc w:val="both"/>
      </w:pPr>
      <w:r>
        <w:rPr>
          <w:sz w:val="20"/>
        </w:rPr>
        <w:t xml:space="preserve">3.5.7.4. В случае приобретения ЦКР технологического оборудования по типу центра прототипирования (далее - ЦКР с оказанием технологических услуг) на такой ЦКР распространяются требования к созданию центра прототипирования и центров коллективного пользования, в том числе в части дополнительного штата (наличия в штате сотрудника, имеющего техническое или инженерное образование).</w:t>
      </w:r>
    </w:p>
    <w:p>
      <w:pPr>
        <w:pStyle w:val="0"/>
        <w:spacing w:before="200" w:lineRule="auto"/>
        <w:ind w:firstLine="540"/>
        <w:jc w:val="both"/>
      </w:pPr>
      <w:r>
        <w:rPr>
          <w:sz w:val="20"/>
        </w:rPr>
        <w:t xml:space="preserve">Создание ЦКР с оказанием технологических услуг возможно лишь при отсутствии на территории субъекта Российской Федерации РЦИ и центра прототипирования, а также с обоснованием приобретения оборудования и предварительными расчетами его загрузки.</w:t>
      </w:r>
    </w:p>
    <w:p>
      <w:pPr>
        <w:pStyle w:val="0"/>
        <w:spacing w:before="200" w:lineRule="auto"/>
        <w:ind w:firstLine="540"/>
        <w:jc w:val="both"/>
      </w:pPr>
      <w:r>
        <w:rPr>
          <w:sz w:val="20"/>
        </w:rPr>
        <w:t xml:space="preserve">В случае приобретения ЦКР печатного оборудования (мини-типография, плоттер, иное) услуги по изготовлению печатной продукции могут оказываться только субъектам МСП - членам кластера, а также в целях обеспечения деятельности центра "Мой бизнес".</w:t>
      </w:r>
    </w:p>
    <w:p>
      <w:pPr>
        <w:pStyle w:val="0"/>
        <w:spacing w:before="200" w:lineRule="auto"/>
        <w:ind w:firstLine="540"/>
        <w:jc w:val="both"/>
      </w:pPr>
      <w:r>
        <w:rPr>
          <w:sz w:val="20"/>
        </w:rPr>
        <w:t xml:space="preserve">3.5.7.5. Услуги ЦКР, указанные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0"/>
            <w:color w:val="0000ff"/>
          </w:rPr>
          <w:t xml:space="preserve">подпункте 3.5.7.3 пункта 3</w:t>
        </w:r>
      </w:hyperlink>
      <w:r>
        <w:rPr>
          <w:sz w:val="20"/>
        </w:rPr>
        <w:t xml:space="preserve"> настоящих Требований, должны предоставляться субъектам МСП - участникам территориальных кластеров на платной основе, или частично платной основе, или на бесплатной основе (за исключением услуг ЦКР, указанных в </w:t>
      </w:r>
      <w:hyperlink w:history="0" w:anchor="P965" w:tooltip="а) услуга скоринга;">
        <w:r>
          <w:rPr>
            <w:sz w:val="20"/>
            <w:color w:val="0000ff"/>
          </w:rPr>
          <w:t xml:space="preserve">подпунктах "а"</w:t>
        </w:r>
      </w:hyperlink>
      <w:r>
        <w:rPr>
          <w:sz w:val="20"/>
        </w:rPr>
        <w:t xml:space="preserve"> и </w:t>
      </w:r>
      <w:hyperlink w:history="0" w:anchor="P966" w:tooltip="б) консультирование об услугах ЦКР, в том числе в формате семинара, вебинара, круглого стола;">
        <w:r>
          <w:rPr>
            <w:sz w:val="20"/>
            <w:color w:val="0000ff"/>
          </w:rPr>
          <w:t xml:space="preserve">"б" подпункта 3.5.7.3 пункта 3</w:t>
        </w:r>
      </w:hyperlink>
      <w:r>
        <w:rPr>
          <w:sz w:val="20"/>
        </w:rPr>
        <w:t xml:space="preserve"> настоящих Требований, которые предоставляются субъектам МСП на бесплатной основе).</w:t>
      </w:r>
    </w:p>
    <w:p>
      <w:pPr>
        <w:pStyle w:val="0"/>
        <w:spacing w:before="200" w:lineRule="auto"/>
        <w:ind w:firstLine="540"/>
        <w:jc w:val="both"/>
      </w:pPr>
      <w:r>
        <w:rPr>
          <w:sz w:val="20"/>
        </w:rPr>
        <w:t xml:space="preserve">ЦКР вправе предоставлять услуги, указанные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0"/>
            <w:color w:val="0000ff"/>
          </w:rPr>
          <w:t xml:space="preserve">подпункте 3.5.7.3 пункта 3</w:t>
        </w:r>
      </w:hyperlink>
      <w:r>
        <w:rPr>
          <w:sz w:val="20"/>
        </w:rPr>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pPr>
        <w:pStyle w:val="0"/>
        <w:spacing w:before="200" w:lineRule="auto"/>
        <w:ind w:firstLine="540"/>
        <w:jc w:val="both"/>
      </w:pPr>
      <w:r>
        <w:rPr>
          <w:sz w:val="20"/>
        </w:rPr>
        <w:t xml:space="preserve">Услуга ЦКР по организации бизнес-миссий для участников кластеров может предоставляться ЦКР, действующим более 1 года со дня его создания.</w:t>
      </w:r>
    </w:p>
    <w:p>
      <w:pPr>
        <w:pStyle w:val="0"/>
        <w:spacing w:before="200" w:lineRule="auto"/>
        <w:ind w:firstLine="540"/>
        <w:jc w:val="both"/>
      </w:pPr>
      <w:r>
        <w:rPr>
          <w:sz w:val="20"/>
        </w:rPr>
        <w:t xml:space="preserve">3.5.7.6. На базе ЦКР должна действовать постоянно действующая система консультаций и услуг для участников территориальных кластеров, ориентированная на оказание информационных услуг развивающимся и вновь созданным субъектам МСП.</w:t>
      </w:r>
    </w:p>
    <w:p>
      <w:pPr>
        <w:pStyle w:val="0"/>
        <w:spacing w:before="200" w:lineRule="auto"/>
        <w:ind w:firstLine="540"/>
        <w:jc w:val="both"/>
      </w:pPr>
      <w:r>
        <w:rPr>
          <w:sz w:val="20"/>
        </w:rPr>
        <w:t xml:space="preserve">3.5.7.7. На базе ЦКР должен проводиться анализ потенциала субъекта Российской Федерации в сферах деятельности территориальных кластеров, участников территориальных кластеров и перспектив их развития.</w:t>
      </w:r>
    </w:p>
    <w:bookmarkStart w:id="988" w:name="P988"/>
    <w:bookmarkEnd w:id="988"/>
    <w:p>
      <w:pPr>
        <w:pStyle w:val="0"/>
        <w:spacing w:before="200" w:lineRule="auto"/>
        <w:ind w:firstLine="540"/>
        <w:jc w:val="both"/>
      </w:pPr>
      <w:r>
        <w:rPr>
          <w:sz w:val="20"/>
        </w:rPr>
        <w:t xml:space="preserve">3.5.7.8. На базе помещений ЦКР или других объектов инфраструктуры поддержки субъектов МСП на безвозмездной основе должны проводиться встречи для участников территориальных кластеров, заинтересованных в получении услуг ЦКР.</w:t>
      </w:r>
    </w:p>
    <w:p>
      <w:pPr>
        <w:pStyle w:val="0"/>
        <w:spacing w:before="200" w:lineRule="auto"/>
        <w:ind w:firstLine="540"/>
        <w:jc w:val="both"/>
      </w:pPr>
      <w:r>
        <w:rPr>
          <w:sz w:val="20"/>
        </w:rPr>
        <w:t xml:space="preserve">3.5.7.9. Услуги, указанные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0"/>
            <w:color w:val="0000ff"/>
          </w:rPr>
          <w:t xml:space="preserve">подпунктах 3.5.7.3</w:t>
        </w:r>
      </w:hyperlink>
      <w:r>
        <w:rPr>
          <w:sz w:val="20"/>
        </w:rPr>
        <w:t xml:space="preserve"> - </w:t>
      </w:r>
      <w:hyperlink w:history="0" w:anchor="P988" w:tooltip="3.5.7.8. На базе помещений ЦКР или других объектов инфраструктуры поддержки субъектов МСП на безвозмездной основе должны проводиться встречи для участников территориальных кластеров, заинтересованных в получении услуг ЦКР.">
        <w:r>
          <w:rPr>
            <w:sz w:val="20"/>
            <w:color w:val="0000ff"/>
          </w:rPr>
          <w:t xml:space="preserve">3.5.7.8 пункта 3</w:t>
        </w:r>
      </w:hyperlink>
      <w:r>
        <w:rPr>
          <w:sz w:val="20"/>
        </w:rP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При привлечении сторонних организаций в процессе проведения отбора поставщиков услуг ЦКР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00" w:lineRule="auto"/>
        <w:ind w:firstLine="540"/>
        <w:jc w:val="both"/>
      </w:pPr>
      <w:r>
        <w:rPr>
          <w:sz w:val="20"/>
        </w:rPr>
        <w:t xml:space="preserve">3.5.7.10. ЦКР должен взаимодействовать в интересах участников территориальных кластеров с органами государственной власти и органами местного самоуправления.</w:t>
      </w:r>
    </w:p>
    <w:p>
      <w:pPr>
        <w:pStyle w:val="0"/>
        <w:spacing w:before="200" w:lineRule="auto"/>
        <w:ind w:firstLine="540"/>
        <w:jc w:val="both"/>
      </w:pPr>
      <w:r>
        <w:rPr>
          <w:sz w:val="20"/>
        </w:rPr>
        <w:t xml:space="preserve">3.5.7.11. При организации ЦКР семинаров, вебинаров, круглых столов необходимо соблюдение следующих требований:</w:t>
      </w:r>
    </w:p>
    <w:p>
      <w:pPr>
        <w:pStyle w:val="0"/>
        <w:spacing w:before="200" w:lineRule="auto"/>
        <w:ind w:firstLine="540"/>
        <w:jc w:val="both"/>
      </w:pPr>
      <w:r>
        <w:rPr>
          <w:sz w:val="20"/>
        </w:rPr>
        <w:t xml:space="preserve">а) количество участников семинаров, вебинаров должно быть не менее 10, не менее 2/3 из которых составляют представители субъектов МСП;</w:t>
      </w:r>
    </w:p>
    <w:p>
      <w:pPr>
        <w:pStyle w:val="0"/>
        <w:spacing w:before="200" w:lineRule="auto"/>
        <w:ind w:firstLine="540"/>
        <w:jc w:val="both"/>
      </w:pPr>
      <w:r>
        <w:rPr>
          <w:sz w:val="20"/>
        </w:rPr>
        <w:t xml:space="preserve">б) в случае, если организация семинаров, вебинаров, круглых столов проводится по заявке субъектов МСП, иных организаций, то такая услуга предоставляется на полностью или частично платной основе.</w:t>
      </w:r>
    </w:p>
    <w:p>
      <w:pPr>
        <w:pStyle w:val="0"/>
        <w:spacing w:before="200" w:lineRule="auto"/>
        <w:ind w:firstLine="540"/>
        <w:jc w:val="both"/>
      </w:pPr>
      <w:r>
        <w:rPr>
          <w:sz w:val="20"/>
        </w:rPr>
        <w:t xml:space="preserve">3.5.7.12. ЦКР должен обеспечивать размещение и ежемесячное обновление (актуализацию) в специальном разделе ЦКР на сайте центра "Мой бизнес" следующей информации:</w:t>
      </w:r>
    </w:p>
    <w:p>
      <w:pPr>
        <w:pStyle w:val="0"/>
        <w:spacing w:before="200" w:lineRule="auto"/>
        <w:ind w:firstLine="540"/>
        <w:jc w:val="both"/>
      </w:pPr>
      <w:r>
        <w:rPr>
          <w:sz w:val="20"/>
        </w:rPr>
        <w:t xml:space="preserve">а) сведения о территориальных кластерах;</w:t>
      </w:r>
    </w:p>
    <w:p>
      <w:pPr>
        <w:pStyle w:val="0"/>
        <w:spacing w:before="200" w:lineRule="auto"/>
        <w:ind w:firstLine="540"/>
        <w:jc w:val="both"/>
      </w:pPr>
      <w:r>
        <w:rPr>
          <w:sz w:val="20"/>
        </w:rPr>
        <w:t xml:space="preserve">б) сведения о предприятиях и организациях, образующих территориальные кластеры, их отраслевой принадлежности, выпускаемой ими продукции и (или) оказываемых услугах;</w:t>
      </w:r>
    </w:p>
    <w:p>
      <w:pPr>
        <w:pStyle w:val="0"/>
        <w:spacing w:before="200" w:lineRule="auto"/>
        <w:ind w:firstLine="540"/>
        <w:jc w:val="both"/>
      </w:pPr>
      <w:r>
        <w:rPr>
          <w:sz w:val="20"/>
        </w:rPr>
        <w:t xml:space="preserve">в) сведения об учредителях ЦКР (юридического лица, структурным подразделением которого является ЦКР);</w:t>
      </w:r>
    </w:p>
    <w:p>
      <w:pPr>
        <w:pStyle w:val="0"/>
        <w:spacing w:before="200" w:lineRule="auto"/>
        <w:ind w:firstLine="540"/>
        <w:jc w:val="both"/>
      </w:pPr>
      <w:r>
        <w:rPr>
          <w:sz w:val="20"/>
        </w:rPr>
        <w:t xml:space="preserve">г) сведения о деятельности ЦКР, его целях и задачах, обслуживаемых территориальных кластерах, услугах, в том числе стоимости предоставляемых услуг;</w:t>
      </w:r>
    </w:p>
    <w:p>
      <w:pPr>
        <w:pStyle w:val="0"/>
        <w:spacing w:before="200" w:lineRule="auto"/>
        <w:ind w:firstLine="540"/>
        <w:jc w:val="both"/>
      </w:pPr>
      <w:r>
        <w:rPr>
          <w:sz w:val="20"/>
        </w:rPr>
        <w:t xml:space="preserve">д) план работы ЦКР на год;</w:t>
      </w:r>
    </w:p>
    <w:p>
      <w:pPr>
        <w:pStyle w:val="0"/>
        <w:spacing w:before="200" w:lineRule="auto"/>
        <w:ind w:firstLine="540"/>
        <w:jc w:val="both"/>
      </w:pPr>
      <w:r>
        <w:rPr>
          <w:sz w:val="20"/>
        </w:rPr>
        <w:t xml:space="preserve">е) отчеты о деятельности ЦКР за предыдущие годы со дня его создания;</w:t>
      </w:r>
    </w:p>
    <w:p>
      <w:pPr>
        <w:pStyle w:val="0"/>
        <w:spacing w:before="200" w:lineRule="auto"/>
        <w:ind w:firstLine="540"/>
        <w:jc w:val="both"/>
      </w:pPr>
      <w:r>
        <w:rPr>
          <w:sz w:val="20"/>
        </w:rPr>
        <w:t xml:space="preserve">ж) разработанные документы: программы развития территориальных кластеров, концепция развития ЦКР;</w:t>
      </w:r>
    </w:p>
    <w:p>
      <w:pPr>
        <w:pStyle w:val="0"/>
        <w:spacing w:before="200" w:lineRule="auto"/>
        <w:ind w:firstLine="540"/>
        <w:jc w:val="both"/>
      </w:pPr>
      <w:r>
        <w:rPr>
          <w:sz w:val="20"/>
        </w:rPr>
        <w:t xml:space="preserve">з) информация о реализуемых совместных кластерных проектах;</w:t>
      </w:r>
    </w:p>
    <w:p>
      <w:pPr>
        <w:pStyle w:val="0"/>
        <w:spacing w:before="200" w:lineRule="auto"/>
        <w:ind w:firstLine="540"/>
        <w:jc w:val="both"/>
      </w:pPr>
      <w:r>
        <w:rPr>
          <w:sz w:val="20"/>
        </w:rPr>
        <w:t xml:space="preserve">и) графики встреч, заседаний рабочих групп, совещаний партнеров ЦКР и участников территориальных кластеров;</w:t>
      </w:r>
    </w:p>
    <w:p>
      <w:pPr>
        <w:pStyle w:val="0"/>
        <w:spacing w:before="200" w:lineRule="auto"/>
        <w:ind w:firstLine="540"/>
        <w:jc w:val="both"/>
      </w:pPr>
      <w:r>
        <w:rPr>
          <w:sz w:val="20"/>
        </w:rPr>
        <w:t xml:space="preserve">к) дополнительные информационные сервисы (например, базы данных по государственным и муниципальным закупкам, необходимые в целях реализации совместных кластерных проектов, сведения о мерах поддержки для субъектов МСП, являющихся участниками территориальных кластеров);</w:t>
      </w:r>
    </w:p>
    <w:p>
      <w:pPr>
        <w:pStyle w:val="0"/>
        <w:spacing w:before="200" w:lineRule="auto"/>
        <w:ind w:firstLine="540"/>
        <w:jc w:val="both"/>
      </w:pPr>
      <w:r>
        <w:rPr>
          <w:sz w:val="20"/>
        </w:rPr>
        <w:t xml:space="preserve">л) информация о стоимости платных услуг, предоставляемых ЦКР.</w:t>
      </w:r>
    </w:p>
    <w:p>
      <w:pPr>
        <w:pStyle w:val="0"/>
        <w:spacing w:before="200" w:lineRule="auto"/>
        <w:ind w:firstLine="540"/>
        <w:jc w:val="both"/>
      </w:pPr>
      <w:r>
        <w:rPr>
          <w:sz w:val="20"/>
        </w:rPr>
        <w:t xml:space="preserve">3.5.7.12.1. Информация о ЦКР и мерах поддержки субъектов МСП (в случае если субъекты МСП являются также участниками промышленных кластеров) размещается в государственной информационной системе промышленности, функционирующей в соответствии с </w:t>
      </w:r>
      <w:hyperlink w:history="0" r:id="rId69" w:tooltip="Постановление Правительства РФ от 25.07.2015 N 757 (ред. от 15.10.2024) &quot;О порядке создания, эксплуатации и совершенствования государственной информационной системы промышленности&quot; (вместе с &quot;Правилами создания, эксплуатации и совершенствования государственной информационной системы промышленности&quot;) {КонсультантПлюс}">
        <w:r>
          <w:rPr>
            <w:sz w:val="20"/>
            <w:color w:val="0000ff"/>
          </w:rPr>
          <w:t xml:space="preserve">постановлением</w:t>
        </w:r>
      </w:hyperlink>
      <w:r>
        <w:rPr>
          <w:sz w:val="20"/>
        </w:rPr>
        <w:t xml:space="preserve"> Правительства Российской Федерации от 25 июля 2015 г. N 757 "О порядке создания, эксплуатации и совершенствования государственной информационной системы промышленности", в сети "Интернет".</w:t>
      </w:r>
    </w:p>
    <w:p>
      <w:pPr>
        <w:pStyle w:val="0"/>
        <w:spacing w:before="200" w:lineRule="auto"/>
        <w:ind w:firstLine="540"/>
        <w:jc w:val="both"/>
      </w:pPr>
      <w:r>
        <w:rPr>
          <w:sz w:val="20"/>
        </w:rPr>
        <w:t xml:space="preserve">3.5.7.13. Руководитель и заместитель руководителя ЦКР должны соответствовать следующим требованиям:</w:t>
      </w:r>
    </w:p>
    <w:p>
      <w:pPr>
        <w:pStyle w:val="0"/>
        <w:spacing w:before="200" w:lineRule="auto"/>
        <w:ind w:firstLine="540"/>
        <w:jc w:val="both"/>
      </w:pPr>
      <w:r>
        <w:rPr>
          <w:sz w:val="20"/>
        </w:rPr>
        <w:t xml:space="preserve">а) иметь гражданство Российской Федерации;</w:t>
      </w:r>
    </w:p>
    <w:p>
      <w:pPr>
        <w:pStyle w:val="0"/>
        <w:spacing w:before="200" w:lineRule="auto"/>
        <w:ind w:firstLine="540"/>
        <w:jc w:val="both"/>
      </w:pPr>
      <w:r>
        <w:rPr>
          <w:sz w:val="20"/>
        </w:rPr>
        <w:t xml:space="preserve">б) иметь высшее экономическое, финансовое образование и (или) образование в области управления (заместитель руководителя должен иметь высшее образование);</w:t>
      </w:r>
    </w:p>
    <w:p>
      <w:pPr>
        <w:pStyle w:val="0"/>
        <w:spacing w:before="200" w:lineRule="auto"/>
        <w:ind w:firstLine="540"/>
        <w:jc w:val="both"/>
      </w:pPr>
      <w:r>
        <w:rPr>
          <w:sz w:val="20"/>
        </w:rPr>
        <w:t xml:space="preserve">в) иметь опыт работы в области специализации территориальных кластеров в сфере инноваций не менее 3 лет;</w:t>
      </w:r>
    </w:p>
    <w:p>
      <w:pPr>
        <w:pStyle w:val="0"/>
        <w:spacing w:before="200" w:lineRule="auto"/>
        <w:ind w:firstLine="540"/>
        <w:jc w:val="both"/>
      </w:pPr>
      <w:r>
        <w:rPr>
          <w:sz w:val="20"/>
        </w:rPr>
        <w:t xml:space="preserve">г) иметь удостоверения, подтверждающие ежегодное прохождение повышения квалификации, в том числе в сфере проектного управления.</w:t>
      </w:r>
    </w:p>
    <w:bookmarkStart w:id="1013" w:name="P1013"/>
    <w:bookmarkEnd w:id="1013"/>
    <w:p>
      <w:pPr>
        <w:pStyle w:val="0"/>
        <w:spacing w:before="200" w:lineRule="auto"/>
        <w:ind w:firstLine="540"/>
        <w:jc w:val="both"/>
      </w:pPr>
      <w:r>
        <w:rPr>
          <w:sz w:val="20"/>
        </w:rPr>
        <w:t xml:space="preserve">3.5.7.14. В случае приобретения технологического оборудования (а также использования такого оборудования как оборудования коллективного доступа) в штате ЦКР должно быть не менее 1 сотрудника, имеющего техническое (инженерное) образование для организации предоставления услуг и обслуживания оборудования.</w:t>
      </w:r>
    </w:p>
    <w:bookmarkStart w:id="1014" w:name="P1014"/>
    <w:bookmarkEnd w:id="1014"/>
    <w:p>
      <w:pPr>
        <w:pStyle w:val="0"/>
        <w:spacing w:before="200" w:lineRule="auto"/>
        <w:ind w:firstLine="540"/>
        <w:jc w:val="both"/>
      </w:pPr>
      <w:r>
        <w:rPr>
          <w:sz w:val="20"/>
        </w:rPr>
        <w:t xml:space="preserve">4. Субъекты Российской Федерации осуществляют реализацию мероприятия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 федерального проекта.</w:t>
      </w:r>
    </w:p>
    <w:p>
      <w:pPr>
        <w:pStyle w:val="0"/>
        <w:spacing w:before="200" w:lineRule="auto"/>
        <w:ind w:firstLine="540"/>
        <w:jc w:val="both"/>
      </w:pPr>
      <w:r>
        <w:rPr>
          <w:sz w:val="20"/>
        </w:rPr>
        <w:t xml:space="preserve">4.1. Предоставление субсидии на создание и (или) развитие индустриального (промышленного) парка, агропромышленного парка, бизнес-парка, технопарка, промышленного технопарка (за исключением капитального ремонта) осуществляется в целях реализации мероприятия, указанного в </w:t>
      </w:r>
      <w:hyperlink w:history="0" w:anchor="P1014" w:tooltip="4. Субъекты Российской Федерации осуществляют реализацию мероприятия &quo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quot; федерального проекта.">
        <w:r>
          <w:rPr>
            <w:sz w:val="20"/>
            <w:color w:val="0000ff"/>
          </w:rPr>
          <w:t xml:space="preserve">пункте 4</w:t>
        </w:r>
      </w:hyperlink>
      <w:r>
        <w:rPr>
          <w:sz w:val="20"/>
        </w:rPr>
        <w:t xml:space="preserve"> настоящих Требований.</w:t>
      </w:r>
    </w:p>
    <w:p>
      <w:pPr>
        <w:pStyle w:val="0"/>
        <w:spacing w:before="200" w:lineRule="auto"/>
        <w:ind w:firstLine="540"/>
        <w:jc w:val="both"/>
      </w:pPr>
      <w:r>
        <w:rPr>
          <w:sz w:val="20"/>
        </w:rPr>
        <w:t xml:space="preserve">4.1.1. Субсидия не может быть предоставлена субъекту Российской Федерации, если к финансированию в рамках реализации мероприятия, указанного в </w:t>
      </w:r>
      <w:hyperlink w:history="0" w:anchor="P1014" w:tooltip="4. Субъекты Российской Федерации осуществляют реализацию мероприятия &quo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quot; федерального проекта.">
        <w:r>
          <w:rPr>
            <w:sz w:val="20"/>
            <w:color w:val="0000ff"/>
          </w:rPr>
          <w:t xml:space="preserve">пункте 4</w:t>
        </w:r>
      </w:hyperlink>
      <w:r>
        <w:rPr>
          <w:sz w:val="20"/>
        </w:rPr>
        <w:t xml:space="preserve"> настоящих Требований, представлены расходы, совпадающие по форме, срокам и виду с расходами, осуществленными субъектом Российской Федерации в соответствии с </w:t>
      </w:r>
      <w:hyperlink w:history="0" r:id="rId70"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Правилами</w:t>
        </w:r>
      </w:hyperlink>
      <w:r>
        <w:rPr>
          <w:sz w:val="20"/>
        </w:rPr>
        <w:t xml:space="preserve"> отбора субъектов Российской Федерации, имеющих право на получение государственной поддержки в форме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утвержденными постановлением Правительства Российской Федерации от 30 октября 2014 г. N 1119, и (или) </w:t>
      </w:r>
      <w:hyperlink w:history="0" r:id="rId71" w:tooltip="Постановление Правительства РФ от 11.08.2015 N 831 (ред. от 11.06.2021) &quot;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quot;ВЭБ.РФ&quot; в 2020 - 2022 годах на реализацию инвестиционных проектов создания, расширения или развития индус {КонсультантПлюс}">
        <w:r>
          <w:rPr>
            <w:sz w:val="20"/>
            <w:color w:val="0000ff"/>
          </w:rPr>
          <w:t xml:space="preserve">Правилами</w:t>
        </w:r>
      </w:hyperlink>
      <w:r>
        <w:rPr>
          <w:sz w:val="20"/>
        </w:rPr>
        <w:t xml:space="preserve">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 утвержденными постановлением Правительства Российской Федерации от 11 августа 2015 г. N 831, а также </w:t>
      </w:r>
      <w:hyperlink w:history="0" r:id="rId72" w:tooltip="Постановление Правительства РФ от 15.04.2014 N 328 (ред. от 02.08.2025)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Правилами</w:t>
        </w:r>
      </w:hyperlink>
      <w:r>
        <w:rPr>
          <w:sz w:val="20"/>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приведенными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w:t>
      </w:r>
    </w:p>
    <w:p>
      <w:pPr>
        <w:pStyle w:val="0"/>
        <w:spacing w:before="200" w:lineRule="auto"/>
        <w:ind w:firstLine="540"/>
        <w:jc w:val="both"/>
      </w:pPr>
      <w:r>
        <w:rPr>
          <w:sz w:val="20"/>
        </w:rPr>
        <w:t xml:space="preserve">4.2. Требованиями к реализации мероприятия, указанного в </w:t>
      </w:r>
      <w:hyperlink w:history="0" w:anchor="P1014" w:tooltip="4. Субъекты Российской Федерации осуществляют реализацию мероприятия &quo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quot; федерального проекта.">
        <w:r>
          <w:rPr>
            <w:sz w:val="20"/>
            <w:color w:val="0000ff"/>
          </w:rPr>
          <w:t xml:space="preserve">пункте 4</w:t>
        </w:r>
      </w:hyperlink>
      <w:r>
        <w:rPr>
          <w:sz w:val="20"/>
        </w:rPr>
        <w:t xml:space="preserve"> настоящих Требований, являются:</w:t>
      </w:r>
    </w:p>
    <w:p>
      <w:pPr>
        <w:pStyle w:val="0"/>
        <w:spacing w:before="200" w:lineRule="auto"/>
        <w:ind w:firstLine="540"/>
        <w:jc w:val="both"/>
      </w:pPr>
      <w:r>
        <w:rPr>
          <w:sz w:val="20"/>
        </w:rPr>
        <w:t xml:space="preserve">а) наличие обязательства субъекта Российской Федерации обеспечить функционирование индустриального (промышленного) парка, агропромышленного парка, бизнес-парка, технопарка и промышленного технопарка в течение не менее 10 лет со дня ввода в эксплуатацию за счет средств субсидии;</w:t>
      </w:r>
    </w:p>
    <w:p>
      <w:pPr>
        <w:pStyle w:val="0"/>
        <w:spacing w:before="200" w:lineRule="auto"/>
        <w:ind w:firstLine="540"/>
        <w:jc w:val="both"/>
      </w:pPr>
      <w:r>
        <w:rPr>
          <w:sz w:val="20"/>
        </w:rPr>
        <w:t xml:space="preserve">б) в случае создания и (или) развития бизнес-парка, технопарка - обеспечение соответствия таких парков настоящим Требованиям;</w:t>
      </w:r>
    </w:p>
    <w:p>
      <w:pPr>
        <w:pStyle w:val="0"/>
        <w:spacing w:before="200" w:lineRule="auto"/>
        <w:ind w:firstLine="540"/>
        <w:jc w:val="both"/>
      </w:pPr>
      <w:r>
        <w:rPr>
          <w:sz w:val="20"/>
        </w:rPr>
        <w:t xml:space="preserve">в) в случае создания и (или) развития индустриального (промышленного) парка, агропромышленного парка, промышленного технопарка - обеспечение соответствия настоящим Требованиям, а также </w:t>
      </w:r>
      <w:hyperlink w:history="0" r:id="rId73"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(далее - требования, утвержденные постановлением Правительства Российской Федерации N 794), - для индустриальных (промышленных) парков, агропромышленных парков, или </w:t>
      </w:r>
      <w:hyperlink w:history="0" r:id="rId74"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(далее - требования, утвержденные постановлением Правительства Российской Федерации N 1863), - для промышленных технопарков к дате ввода таких парков в эксплуатацию.</w:t>
      </w:r>
    </w:p>
    <w:p>
      <w:pPr>
        <w:pStyle w:val="0"/>
        <w:spacing w:before="200" w:lineRule="auto"/>
        <w:ind w:firstLine="540"/>
        <w:jc w:val="both"/>
      </w:pPr>
      <w:r>
        <w:rPr>
          <w:sz w:val="20"/>
        </w:rPr>
        <w:t xml:space="preserve">4.3.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 для субъектов Российской Федерации, относящихся к 1 - 3 группам в соответствии с </w:t>
      </w:r>
      <w:hyperlink w:history="0" r:id="rId75"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11</w:t>
        </w:r>
      </w:hyperlink>
      <w:r>
        <w:rPr>
          <w:sz w:val="20"/>
        </w:rPr>
        <w:t xml:space="preserve"> Правил, приведенных в приложении N 48:</w:t>
      </w:r>
    </w:p>
    <w:p>
      <w:pPr>
        <w:pStyle w:val="0"/>
        <w:spacing w:before="200" w:lineRule="auto"/>
        <w:ind w:firstLine="540"/>
        <w:jc w:val="both"/>
      </w:pPr>
      <w:r>
        <w:rPr>
          <w:sz w:val="20"/>
        </w:rPr>
        <w:t xml:space="preserve">а) бизнес-план создания и (или) развития индустриального (промышленного) парка, агропромышленного парка, бизнес-парка, технопарка, промышленного технопарка, включающего в том числе:</w:t>
      </w:r>
    </w:p>
    <w:p>
      <w:pPr>
        <w:pStyle w:val="0"/>
        <w:spacing w:before="200" w:lineRule="auto"/>
        <w:ind w:firstLine="540"/>
        <w:jc w:val="both"/>
      </w:pPr>
      <w:r>
        <w:rPr>
          <w:sz w:val="20"/>
        </w:rPr>
        <w:t xml:space="preserve">определение целей и задач, целесообразности и предпосылок реализации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определение спроса на услуги и обоснование основных показателей деятельности такого индустриального (промышленного) парка, агропромышленного парка, бизнес-парка, технопарка, промышленного технопарка (включая обоснование характеристик земельных участков, объектов недвижимости, объектов инфраструктуры, специализации и зонирования территории и помещений);</w:t>
      </w:r>
    </w:p>
    <w:p>
      <w:pPr>
        <w:pStyle w:val="0"/>
        <w:spacing w:before="200" w:lineRule="auto"/>
        <w:ind w:firstLine="540"/>
        <w:jc w:val="both"/>
      </w:pPr>
      <w:r>
        <w:rPr>
          <w:sz w:val="20"/>
        </w:rPr>
        <w:t xml:space="preserve">анализ потребностей его потенциальных резидентов (с указанием источников полученных сведений);</w:t>
      </w:r>
    </w:p>
    <w:p>
      <w:pPr>
        <w:pStyle w:val="0"/>
        <w:spacing w:before="200" w:lineRule="auto"/>
        <w:ind w:firstLine="540"/>
        <w:jc w:val="both"/>
      </w:pPr>
      <w:r>
        <w:rPr>
          <w:sz w:val="20"/>
        </w:rPr>
        <w:t xml:space="preserve">определение источников и условий финансирования создания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оценку имеющихся и возможных рисков, а также мероприятий по нивелированию негативных последствий возникновения таких рисков;</w:t>
      </w:r>
    </w:p>
    <w:p>
      <w:pPr>
        <w:pStyle w:val="0"/>
        <w:spacing w:before="200" w:lineRule="auto"/>
        <w:ind w:firstLine="540"/>
        <w:jc w:val="both"/>
      </w:pPr>
      <w:r>
        <w:rPr>
          <w:sz w:val="20"/>
        </w:rPr>
        <w:t xml:space="preserve">оценку результативности и эффективности реализации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определение направлений расходования бюджетных (с детализацией на федеральную и региональную часть) и внебюджетных средств субсидии на развитие индустриального (промышленного) парка, агропромышленного парка, бизнес-парка, технопарка, промышленного технопарка,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условий и этапов размещения резидентов;</w:t>
      </w:r>
    </w:p>
    <w:p>
      <w:pPr>
        <w:pStyle w:val="0"/>
        <w:spacing w:before="200" w:lineRule="auto"/>
        <w:ind w:firstLine="540"/>
        <w:jc w:val="both"/>
      </w:pPr>
      <w:r>
        <w:rPr>
          <w:sz w:val="20"/>
        </w:rPr>
        <w:t xml:space="preserve">б) мастер-план территории индустриального (промышленного) парка, агропромышленного парка, бизнес-парка, технопарка, промышленного технопарка, в котором указаны:</w:t>
      </w:r>
    </w:p>
    <w:p>
      <w:pPr>
        <w:pStyle w:val="0"/>
        <w:spacing w:before="200" w:lineRule="auto"/>
        <w:ind w:firstLine="540"/>
        <w:jc w:val="both"/>
      </w:pPr>
      <w:r>
        <w:rPr>
          <w:sz w:val="20"/>
        </w:rPr>
        <w:t xml:space="preserve">схема обеспечения территории индустриального (промышленного) парка, агропромышленного парка, бизнес-парка, технопарка, промышленного технопарка промышленной и (или) технологической инфраструктурой или схема застройки индустриального (промышленного) парка, агропромышленного парка, бизнес-парка, технопарка, промышленного технопарка с указанием масштаба;</w:t>
      </w:r>
    </w:p>
    <w:p>
      <w:pPr>
        <w:pStyle w:val="0"/>
        <w:spacing w:before="200" w:lineRule="auto"/>
        <w:ind w:firstLine="540"/>
        <w:jc w:val="both"/>
      </w:pPr>
      <w:r>
        <w:rPr>
          <w:sz w:val="20"/>
        </w:rPr>
        <w:t xml:space="preserve">схема расположения земельных участков на территории индустриального (промышленного) парка, агропромышленного парка, бизнес-парка, технопарка, промышленного технопарка с указанием их общей площади и полезной площади земельных участков, расположенных на территории индустриального (промышленного) парка, агропромышленного парка, бизнес-парка, технопарка, промышленного технопарка, в том числе предназначенных для размещения производств резидентов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схема расположения зданий, строений индустриального (промышленного) парка, агропромышленного парка, бизнес-парка, технопарка, промышленного технопарка, планируемых к строительству и реконструкции с указанием их общей площади и полезной площади зданий, строений, расположенных на территории индустриального (промышленного) парка, агропромышленного парка, бизнес-парка, технопарка, промышленного технопарка, в том числе предназначенных для размещения и ведения деятельности резидентов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схема размещения резидентов и (или) потенциальных резидентов индустриального (промышленного) парка, агропромышленного парка, бизнес-парка, технопарка, промышленного технопарка, а также пользователей инфраструктуры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сведения о действующей и планируемой коммунальной и транспортной инфраструктуре;</w:t>
      </w:r>
    </w:p>
    <w:p>
      <w:pPr>
        <w:pStyle w:val="0"/>
        <w:spacing w:before="200" w:lineRule="auto"/>
        <w:ind w:firstLine="540"/>
        <w:jc w:val="both"/>
      </w:pPr>
      <w:r>
        <w:rPr>
          <w:sz w:val="20"/>
        </w:rPr>
        <w:t xml:space="preserve">в) финансовая модель создания и (или) развития индустриального (промышленного) парка, агропромышленного парка, бизнес-парка, технопарка, промышленного технопарка, предусматривающая несколько вариантов развития проекта по созданию и (или) развитию индустриального (промышленного) парка, агропромышленного парка, бизнес-парка, технопарка, промышленного технопарка (базовый, перспективный, негативный), расчеты основных показателей эффективности проекта по созданию и (или) развитию индустриального (промышленного) парка, агропромышленного парка, бизнес-парка, технопарка, промышленного технопарка. Период окупаемости проекта по созданию и (или) развитию индустриального (промышленного) парка, агропромышленного парка, бизнес-парка, технопарка, промышленного технопарка в соответствии с базовым вариантом не может превышать 10 лет со дня его ввода в эксплуатацию;</w:t>
      </w:r>
    </w:p>
    <w:p>
      <w:pPr>
        <w:pStyle w:val="0"/>
        <w:spacing w:before="200" w:lineRule="auto"/>
        <w:ind w:firstLine="540"/>
        <w:jc w:val="both"/>
      </w:pPr>
      <w:r>
        <w:rPr>
          <w:sz w:val="20"/>
        </w:rPr>
        <w:t xml:space="preserve">г) пояснительная записка, включающая в себя основные данные бизнес-плана, мастер-плана и финансовой модели индустриального (промышленного) парка, агропромышленного парка, бизнес-парка, технопарка, промышленного технопарка, а также степени влияния мероприятия по созданию и (или) развитию индустриального (промышленного) парка, агропромышленного парка, бизнес-парка, промышленного технопарка, технопарка на показатели национального проекта и федерального проекта;</w:t>
      </w:r>
    </w:p>
    <w:bookmarkStart w:id="1039" w:name="P1039"/>
    <w:bookmarkEnd w:id="1039"/>
    <w:p>
      <w:pPr>
        <w:pStyle w:val="0"/>
        <w:spacing w:before="200" w:lineRule="auto"/>
        <w:ind w:firstLine="540"/>
        <w:jc w:val="both"/>
      </w:pPr>
      <w:r>
        <w:rPr>
          <w:sz w:val="20"/>
        </w:rPr>
        <w:t xml:space="preserve">д) предварительные и (или) заключенные соглашения (соглашения о намерениях) с субъектами МСП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не менее чем на 20% полезной площади зданий (помещений, строений) и (или) земельных участков на территории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е) копия правового акта субъекта Российской Федерации, утверждающего порядок отбора резидентов индустриального (промышленного) парка, агропромышленного парка, бизнес-парка, технопарка, промышленного технопарка;</w:t>
      </w:r>
    </w:p>
    <w:bookmarkStart w:id="1041" w:name="P1041"/>
    <w:bookmarkEnd w:id="1041"/>
    <w:p>
      <w:pPr>
        <w:pStyle w:val="0"/>
        <w:spacing w:before="200" w:lineRule="auto"/>
        <w:ind w:firstLine="540"/>
        <w:jc w:val="both"/>
      </w:pPr>
      <w:r>
        <w:rPr>
          <w:sz w:val="20"/>
        </w:rPr>
        <w:t xml:space="preserve">ж) заявка на отбор проекта по созданию и (или) развитию индустриального (промышленного) парка, агропромышленного парка, бизнес-парка, технопарка, промышленного технопарка за подписью высшего должностного лица субъекта Российской Федерации по форме согласно </w:t>
      </w:r>
      <w:hyperlink w:history="0" w:anchor="P2387" w:tooltip="                                  ЗАЯВКА">
        <w:r>
          <w:rPr>
            <w:sz w:val="20"/>
            <w:color w:val="0000ff"/>
          </w:rPr>
          <w:t xml:space="preserve">приложению N 3</w:t>
        </w:r>
      </w:hyperlink>
      <w:r>
        <w:rPr>
          <w:sz w:val="20"/>
        </w:rPr>
        <w:t xml:space="preserve"> к настоящим Требованиям, включающая обязательство субъекта Российской Федерации об обеспечении функционирования и целевого использования индустриального (промышленного) парка, агропромышленного парка, бизнес-парка, технопарка, промышленного технопарка в целях оказания поддержки субъектам МСП в течение 10 лет со дня их создания за счет субсидии, обязательство о вводе в эксплуатацию индустриального (промышленного) парка, агропромышленного парка, бизнес-парка, технопарка, промышленного технопарка в соответствии со сроком, установленным графиком выполнения мероприятия по созданию и (или) развитию индустриального (промышленного) парка, агропромышленного парка, бизнес-парка, технопарка, промышленного технопарка, обязательство по достижению плановых показателей по проекту создания и (или) развития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4.3.1.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 для субъектов Российской Федерации, относящихся к 4 группе в соответствии с </w:t>
      </w:r>
      <w:hyperlink w:history="0" r:id="rId76"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11</w:t>
        </w:r>
      </w:hyperlink>
      <w:r>
        <w:rPr>
          <w:sz w:val="20"/>
        </w:rPr>
        <w:t xml:space="preserve"> Правил, приведенных в приложении N 48:</w:t>
      </w:r>
    </w:p>
    <w:p>
      <w:pPr>
        <w:pStyle w:val="0"/>
        <w:spacing w:before="200" w:lineRule="auto"/>
        <w:ind w:firstLine="540"/>
        <w:jc w:val="both"/>
      </w:pPr>
      <w:r>
        <w:rPr>
          <w:sz w:val="20"/>
        </w:rPr>
        <w:t xml:space="preserve">а) документы, указанные в </w:t>
      </w:r>
      <w:hyperlink w:history="0" w:anchor="P1039" w:tooltip="д) предварительные и (или) заключенные соглашения (соглашения о намерениях) с субъектами МСП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не менее чем на 20% полезной площади зданий (помещений, строений) и (или) земельных участков на территории индустриального (промышленного) парка, агропромышленного парка, бизнес-парка, технопарка, промышленного технопарка;">
        <w:r>
          <w:rPr>
            <w:sz w:val="20"/>
            <w:color w:val="0000ff"/>
          </w:rPr>
          <w:t xml:space="preserve">подпунктах "д"</w:t>
        </w:r>
      </w:hyperlink>
      <w:r>
        <w:rPr>
          <w:sz w:val="20"/>
        </w:rPr>
        <w:t xml:space="preserve"> и </w:t>
      </w:r>
      <w:hyperlink w:history="0" w:anchor="P1041" w:tooltip="ж) заявка на отбор проекта по созданию и (или) развитию индустриального (промышленного) парка, агропромышленного парка, бизнес-парка, технопарка, промышленного технопарка за подписью высшего должностного лица субъекта Российской Федерации по форме согласно приложению N 3 к настоящим Требованиям, включающая обязательство субъекта Российской Федерации об обеспечении функционирования и целевого использования индустриального (промышленного) парка, агропромышленного парка, бизнес-парка, технопарка, промышленн...">
        <w:r>
          <w:rPr>
            <w:sz w:val="20"/>
            <w:color w:val="0000ff"/>
          </w:rPr>
          <w:t xml:space="preserve">"ж" подпункта 4.3 пункта 4</w:t>
        </w:r>
      </w:hyperlink>
      <w:r>
        <w:rPr>
          <w:sz w:val="20"/>
        </w:rPr>
        <w:t xml:space="preserve"> настоящих Требований;</w:t>
      </w:r>
    </w:p>
    <w:p>
      <w:pPr>
        <w:pStyle w:val="0"/>
        <w:spacing w:before="200" w:lineRule="auto"/>
        <w:ind w:firstLine="540"/>
        <w:jc w:val="both"/>
      </w:pPr>
      <w:r>
        <w:rPr>
          <w:sz w:val="20"/>
        </w:rPr>
        <w:t xml:space="preserve">б) пояснительная записка, включающая в себя основные данные индустриального (промышленного) парка, агропромышленного парка, бизнес-парка, технопарка, промышленного технопарка, в том числе основные характеристики приобретаемого оборудования, указанного в </w:t>
      </w:r>
      <w:hyperlink w:history="0" w:anchor="P1057" w:tooltip="4.4.2. Средства субсидии предоставляются субъекту Российской Федерации, отнесенному к 4 группе в соответствии с пунктом 11 Правил, приведенных в приложении N 48, в целях софинансирования создания и (или) развития индустриального (промышленного) парка, агропромышленного парка, бизнес-парка, технопарка, промышленного технопарка в части оснащения программным обеспечением, лабораторным, технологическим и производственным оборудованием коллективного использования, оборудованием для роботизации и автоматизации...">
        <w:r>
          <w:rPr>
            <w:sz w:val="20"/>
            <w:color w:val="0000ff"/>
          </w:rPr>
          <w:t xml:space="preserve">подпункте 4.4.2 пункта 4</w:t>
        </w:r>
      </w:hyperlink>
      <w:r>
        <w:rPr>
          <w:sz w:val="20"/>
        </w:rPr>
        <w:t xml:space="preserve"> настоящих Требований, а также сведения о степени влияния мероприятия по созданию и (или) развитию индустриального (промышленного) парка, агропромышленного парка, бизнес-парка, промышленного технопарка, технопарка на показатели национального проекта и федерального проекта;</w:t>
      </w:r>
    </w:p>
    <w:p>
      <w:pPr>
        <w:pStyle w:val="0"/>
        <w:spacing w:before="200" w:lineRule="auto"/>
        <w:ind w:firstLine="540"/>
        <w:jc w:val="both"/>
      </w:pPr>
      <w:r>
        <w:rPr>
          <w:sz w:val="20"/>
        </w:rPr>
        <w:t xml:space="preserve">в) сметная документация на оборудование, указанное в </w:t>
      </w:r>
      <w:hyperlink w:history="0" w:anchor="P1057" w:tooltip="4.4.2. Средства субсидии предоставляются субъекту Российской Федерации, отнесенному к 4 группе в соответствии с пунктом 11 Правил, приведенных в приложении N 48, в целях софинансирования создания и (или) развития индустриального (промышленного) парка, агропромышленного парка, бизнес-парка, технопарка, промышленного технопарка в части оснащения программным обеспечением, лабораторным, технологическим и производственным оборудованием коллективного использования, оборудованием для роботизации и автоматизации...">
        <w:r>
          <w:rPr>
            <w:sz w:val="20"/>
            <w:color w:val="0000ff"/>
          </w:rPr>
          <w:t xml:space="preserve">подпункте 4.4.2 пункта 4</w:t>
        </w:r>
      </w:hyperlink>
      <w:r>
        <w:rPr>
          <w:sz w:val="20"/>
        </w:rPr>
        <w:t xml:space="preserve"> настоящих Требований.</w:t>
      </w:r>
    </w:p>
    <w:p>
      <w:pPr>
        <w:pStyle w:val="0"/>
        <w:spacing w:before="200" w:lineRule="auto"/>
        <w:ind w:firstLine="540"/>
        <w:jc w:val="both"/>
      </w:pPr>
      <w:r>
        <w:rPr>
          <w:sz w:val="20"/>
        </w:rPr>
        <w:t xml:space="preserve">4.4. Средства субсидии предоставляются субъекту Российской Федерации, отнесенному к 1 - 3 группам в соответствии с </w:t>
      </w:r>
      <w:hyperlink w:history="0" r:id="rId77"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11</w:t>
        </w:r>
      </w:hyperlink>
      <w:r>
        <w:rPr>
          <w:sz w:val="20"/>
        </w:rPr>
        <w:t xml:space="preserve"> Правил, приведенных в приложении N 48, в целях софинансирования следующих направлений создания и (или) развития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а) создание и (или) развитие, и (или) реконструкция энергетической, коммунальной, инженерной, транспортной инфраструктуры;</w:t>
      </w:r>
    </w:p>
    <w:p>
      <w:pPr>
        <w:pStyle w:val="0"/>
        <w:spacing w:before="200" w:lineRule="auto"/>
        <w:ind w:firstLine="540"/>
        <w:jc w:val="both"/>
      </w:pPr>
      <w:r>
        <w:rPr>
          <w:sz w:val="20"/>
        </w:rPr>
        <w:t xml:space="preserve">б) строительство и (или) реконструкция офисных, лабораторных и производственных помещений;</w:t>
      </w:r>
    </w:p>
    <w:p>
      <w:pPr>
        <w:pStyle w:val="0"/>
        <w:spacing w:before="200" w:lineRule="auto"/>
        <w:ind w:firstLine="540"/>
        <w:jc w:val="both"/>
      </w:pPr>
      <w:r>
        <w:rPr>
          <w:sz w:val="20"/>
        </w:rPr>
        <w:t xml:space="preserve">в) подведение к границе индустриального (промышленного) парка, агропромышленного парка, бизнес-парка, технопарка, промышленного технопарка, сетей инженерной инфраструктуры (тепло- газо-, энерго- и водоснабжения, ливневых канализаций, систем очистки сточных вод, линии связи);</w:t>
      </w:r>
    </w:p>
    <w:p>
      <w:pPr>
        <w:pStyle w:val="0"/>
        <w:spacing w:before="200" w:lineRule="auto"/>
        <w:ind w:firstLine="540"/>
        <w:jc w:val="both"/>
      </w:pPr>
      <w:r>
        <w:rPr>
          <w:sz w:val="20"/>
        </w:rPr>
        <w:t xml:space="preserve">г) инженерная подготовка в границах земельного участка, на котором размещается индустриальный (промышленный) парк, агропромышленный парк, бизнес-парк, технопарк, промышленный технопарк;</w:t>
      </w:r>
    </w:p>
    <w:p>
      <w:pPr>
        <w:pStyle w:val="0"/>
        <w:spacing w:before="200" w:lineRule="auto"/>
        <w:ind w:firstLine="540"/>
        <w:jc w:val="both"/>
      </w:pPr>
      <w:r>
        <w:rPr>
          <w:sz w:val="20"/>
        </w:rPr>
        <w:t xml:space="preserve">д) подготовка промышленных площадок, в том числе проведение коммуникаций, строительство и (или) реконструкция производственных зданий, строений, сооружений;</w:t>
      </w:r>
    </w:p>
    <w:p>
      <w:pPr>
        <w:pStyle w:val="0"/>
        <w:spacing w:before="200" w:lineRule="auto"/>
        <w:ind w:firstLine="540"/>
        <w:jc w:val="both"/>
      </w:pPr>
      <w:r>
        <w:rPr>
          <w:sz w:val="20"/>
        </w:rPr>
        <w:t xml:space="preserve">е) технологическое присоединение (подключение) к объектам электро-, газо-, тепло-, водоснабжения и водоотведения, линиям связи;</w:t>
      </w:r>
    </w:p>
    <w:p>
      <w:pPr>
        <w:pStyle w:val="0"/>
        <w:spacing w:before="200" w:lineRule="auto"/>
        <w:ind w:firstLine="540"/>
        <w:jc w:val="both"/>
      </w:pPr>
      <w:r>
        <w:rPr>
          <w:sz w:val="20"/>
        </w:rPr>
        <w:t xml:space="preserve">ж) оснащение объектов индустриального (промышленного) парка, агропромышленного парка, бизнес-парка, технопарка, промышленного технопарка офисным, лабораторным, технологическим, инженерным оборудованием для переработки продукции, выставочным и производственным оборудованием (включая программное обеспечение, монтаж и пусконаладочные работы), в том числе для целей коллективного использования резидентами.</w:t>
      </w:r>
    </w:p>
    <w:p>
      <w:pPr>
        <w:pStyle w:val="0"/>
        <w:spacing w:before="200" w:lineRule="auto"/>
        <w:ind w:firstLine="540"/>
        <w:jc w:val="both"/>
      </w:pPr>
      <w:r>
        <w:rPr>
          <w:sz w:val="20"/>
        </w:rPr>
        <w:t xml:space="preserve">4.4.1. Средства субсидии предоставляются субъекту Российской Федерации, отнесенному к 1 - 3 группам в соответствии с </w:t>
      </w:r>
      <w:hyperlink w:history="0" r:id="rId78"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11</w:t>
        </w:r>
      </w:hyperlink>
      <w:r>
        <w:rPr>
          <w:sz w:val="20"/>
        </w:rPr>
        <w:t xml:space="preserve"> Правил, приведенных в приложении N 48, в целях софинансирования следующих дополнительных направлений создания и (или) развития технопарка, промышленного технопарка, бизнес-парка:</w:t>
      </w:r>
    </w:p>
    <w:p>
      <w:pPr>
        <w:pStyle w:val="0"/>
        <w:spacing w:before="200" w:lineRule="auto"/>
        <w:ind w:firstLine="540"/>
        <w:jc w:val="both"/>
      </w:pPr>
      <w:r>
        <w:rPr>
          <w:sz w:val="20"/>
        </w:rPr>
        <w:t xml:space="preserve">а) приобретение основных средств (в том числе специального транспорта), механизмов, оборудования, устройств и мебели, обеспечивающих соблюдение санитарных и иных установленных законодательством Российской Федерации норм, правил и требований к безопасности пребывания людей, охране жизни и здоровья;</w:t>
      </w:r>
    </w:p>
    <w:p>
      <w:pPr>
        <w:pStyle w:val="0"/>
        <w:spacing w:before="200" w:lineRule="auto"/>
        <w:ind w:firstLine="540"/>
        <w:jc w:val="both"/>
      </w:pPr>
      <w:r>
        <w:rPr>
          <w:sz w:val="20"/>
        </w:rPr>
        <w:t xml:space="preserve">б)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(пользователям) технопарка, промышленного технопарка, бизнес-парка.</w:t>
      </w:r>
    </w:p>
    <w:bookmarkStart w:id="1057" w:name="P1057"/>
    <w:bookmarkEnd w:id="1057"/>
    <w:p>
      <w:pPr>
        <w:pStyle w:val="0"/>
        <w:spacing w:before="200" w:lineRule="auto"/>
        <w:ind w:firstLine="540"/>
        <w:jc w:val="both"/>
      </w:pPr>
      <w:r>
        <w:rPr>
          <w:sz w:val="20"/>
        </w:rPr>
        <w:t xml:space="preserve">4.4.2. Средства субсидии предоставляются субъекту Российской Федерации, отнесенному к 4 группе в соответствии с </w:t>
      </w:r>
      <w:hyperlink w:history="0" r:id="rId79"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11</w:t>
        </w:r>
      </w:hyperlink>
      <w:r>
        <w:rPr>
          <w:sz w:val="20"/>
        </w:rPr>
        <w:t xml:space="preserve"> Правил, приведенных в приложении N 48, в целях софинансирования создания и (или) развития индустриального (промышленного) парка, агропромышленного парка, бизнес-парка, технопарка, промышленного технопарка в части оснащения программным обеспечением, лабораторным, технологическим и производственным оборудованием коллективного использования, оборудованием для роботизации и автоматизации производства для целей предоставления в пользование резидентами и инженерным оборудованием, обеспечивающим функционирование зданий и сооружений.</w:t>
      </w:r>
    </w:p>
    <w:bookmarkStart w:id="1058" w:name="P1058"/>
    <w:bookmarkEnd w:id="1058"/>
    <w:p>
      <w:pPr>
        <w:pStyle w:val="0"/>
        <w:spacing w:before="200" w:lineRule="auto"/>
        <w:ind w:firstLine="540"/>
        <w:jc w:val="both"/>
      </w:pPr>
      <w:r>
        <w:rPr>
          <w:sz w:val="20"/>
        </w:rPr>
        <w:t xml:space="preserve">4.5.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могут быть субъекты МСП, осуществляющие деятельность, относящуюся к обрабатывающему производству (за исключением производства табачных изделий) в соответствии с </w:t>
      </w:r>
      <w:hyperlink w:history="0" r:id="rId8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ОКВЭД</w:t>
        </w:r>
      </w:hyperlink>
      <w:r>
        <w:rPr>
          <w:sz w:val="20"/>
        </w:rPr>
        <w:t xml:space="preserve"> или научным исследованиям и разработкам, роботизации,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 деятельность в области креативной индустрии.</w:t>
      </w:r>
    </w:p>
    <w:p>
      <w:pPr>
        <w:pStyle w:val="0"/>
        <w:spacing w:before="200" w:lineRule="auto"/>
        <w:ind w:firstLine="540"/>
        <w:jc w:val="both"/>
      </w:pPr>
      <w:r>
        <w:rPr>
          <w:sz w:val="20"/>
        </w:rPr>
        <w:t xml:space="preserve">Для размещения в технопарке, промышленном технопарке, бизнес-парке должны привлекаться субъекты МСП, осуществляющие разработку перспективных и инновационных видов продукции и технологий, которые могут быть доведены до серийного выпуска, востребованы на рынке и которые способны обеспечить устойчивые темпы роста объемов продаж и собственной капитализации предприятия за период его нахождения в технопарке, промышленном технопарке, бизнес-парке.</w:t>
      </w:r>
    </w:p>
    <w:p>
      <w:pPr>
        <w:pStyle w:val="0"/>
        <w:spacing w:before="200" w:lineRule="auto"/>
        <w:ind w:firstLine="540"/>
        <w:jc w:val="both"/>
      </w:pPr>
      <w:r>
        <w:rPr>
          <w:sz w:val="20"/>
        </w:rPr>
        <w:t xml:space="preserve">На территории индустриального (промышленного) парка, агропромышленного парка, бизнес-парка, технопарка, промышленного технопарка могут осуществлять деятельность пользователи инфраструктуры индустриального (промышленного) парка, агропромышленного парка, бизнес-парка, технопарка и промышленного технопарка - субъекты МСП, не являющиеся резидентами (потенциальными резидентами) индустриального (промышленного) парка, агропромышленного парка, бизнес-парка, технопарков, промышленных технопарков и осуществляющие деятельность на территории индустриального (промышленного) парка, агропромышленного парка, бизнес-парка, технопарка, промышленного технопарка в целях обеспечения деятельности управляющей компании индустриального (промышленного) парка, агропромышленного парка, бизнес-парка, технопарка, промышленного технопарка - коммерческой организацией, созданной в соответствии с законодательством Российской Федерации, и (или) резидентов таких парков.</w:t>
      </w:r>
    </w:p>
    <w:p>
      <w:pPr>
        <w:pStyle w:val="0"/>
        <w:spacing w:before="200" w:lineRule="auto"/>
        <w:ind w:firstLine="540"/>
        <w:jc w:val="both"/>
      </w:pPr>
      <w:r>
        <w:rPr>
          <w:sz w:val="20"/>
        </w:rPr>
        <w:t xml:space="preserve">4.6. Индустриальный (промышленный) парк, агропромышленный парк, технопарк, промышленный технопарк, бизнес-парк, отнесенные к таковым в соответствии с </w:t>
      </w:r>
      <w:hyperlink w:history="0" r:id="rId81"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4</w:t>
        </w:r>
      </w:hyperlink>
      <w:r>
        <w:rPr>
          <w:sz w:val="20"/>
        </w:rPr>
        <w:t xml:space="preserve"> Правил, приведенных в приложении N 48, управляемые управляющей компанией индустриального (промышленного) парка, агропромышленного парка, бизнес-парка, технопарка, промышленного технопарка, должны соответствовать требованиям, указанным в </w:t>
      </w:r>
      <w:hyperlink w:history="0" w:anchor="P1062" w:tooltip="4.6.1. Площадь индустриального (промышленного) парка, агропромышленного 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
        <w:r>
          <w:rPr>
            <w:sz w:val="20"/>
            <w:color w:val="0000ff"/>
          </w:rPr>
          <w:t xml:space="preserve">подпунктах 4.6.1</w:t>
        </w:r>
      </w:hyperlink>
      <w:r>
        <w:rPr>
          <w:sz w:val="20"/>
        </w:rPr>
        <w:t xml:space="preserve"> - </w:t>
      </w:r>
      <w:hyperlink w:history="0" w:anchor="P1143" w:tooltip="4.8.4.2. Управляющая компания индустриального (промышленного) парка, агропромышленного парка, бизнес-парка, технопарка,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СП к производственным площадям и помещениям индустриального (промышленного) парка, агропромышленного парка, бизнес-парка, технопарка, промышленного техн...">
        <w:r>
          <w:rPr>
            <w:sz w:val="20"/>
            <w:color w:val="0000ff"/>
          </w:rPr>
          <w:t xml:space="preserve">4.8.4.2 пункта 4</w:t>
        </w:r>
      </w:hyperlink>
      <w:r>
        <w:rPr>
          <w:sz w:val="20"/>
        </w:rPr>
        <w:t xml:space="preserve"> настоящих Требований.</w:t>
      </w:r>
    </w:p>
    <w:bookmarkStart w:id="1062" w:name="P1062"/>
    <w:bookmarkEnd w:id="1062"/>
    <w:p>
      <w:pPr>
        <w:pStyle w:val="0"/>
        <w:spacing w:before="200" w:lineRule="auto"/>
        <w:ind w:firstLine="540"/>
        <w:jc w:val="both"/>
      </w:pPr>
      <w:r>
        <w:rPr>
          <w:sz w:val="20"/>
        </w:rPr>
        <w:t xml:space="preserve">4.6.1. Площадь индустриального (промышленного) парка, агропромышленного 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менее 80 000 кв. метров территории земельного участка.</w:t>
      </w:r>
    </w:p>
    <w:p>
      <w:pPr>
        <w:pStyle w:val="0"/>
        <w:spacing w:before="200" w:lineRule="auto"/>
        <w:ind w:firstLine="540"/>
        <w:jc w:val="both"/>
      </w:pPr>
      <w:r>
        <w:rPr>
          <w:sz w:val="20"/>
        </w:rPr>
        <w:t xml:space="preserve">4.6.1.1. Площадь индустриального (промышленного) парка, агропромышленного парка, созданного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менее 20 000 кв. метров производственных площадей, предназначенных для размещения резидентов.</w:t>
      </w:r>
    </w:p>
    <w:p>
      <w:pPr>
        <w:pStyle w:val="0"/>
        <w:spacing w:before="200" w:lineRule="auto"/>
        <w:ind w:firstLine="540"/>
        <w:jc w:val="both"/>
      </w:pPr>
      <w:r>
        <w:rPr>
          <w:sz w:val="20"/>
        </w:rPr>
        <w:t xml:space="preserve">4.6.2. Площадь помещений технопарка, промышленного технопарка должна составлять не менее 5 000 кв. метров, а площадь территории земельного участка - не менее 10 000 кв. метров.</w:t>
      </w:r>
    </w:p>
    <w:p>
      <w:pPr>
        <w:pStyle w:val="0"/>
        <w:spacing w:before="200" w:lineRule="auto"/>
        <w:ind w:firstLine="540"/>
        <w:jc w:val="both"/>
      </w:pPr>
      <w:r>
        <w:rPr>
          <w:sz w:val="20"/>
        </w:rPr>
        <w:t xml:space="preserve">Плотность застройки территории технопарка, промышленного технопарка, определяемая как отношение площади всех этажей зданий и сооружений технопарка, промышленного технопарка к общей площади территории технопарка, промышленного технопарка должна составлять не менее 2 000 кв. метров.</w:t>
      </w:r>
    </w:p>
    <w:p>
      <w:pPr>
        <w:pStyle w:val="0"/>
        <w:spacing w:before="200" w:lineRule="auto"/>
        <w:ind w:firstLine="540"/>
        <w:jc w:val="both"/>
      </w:pPr>
      <w:r>
        <w:rPr>
          <w:sz w:val="20"/>
        </w:rPr>
        <w:t xml:space="preserve">Не менее 70% арендопригодных площадей технопарка, промышленного технопарка должны быть предназначены для резидентов, осуществляющих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pPr>
        <w:pStyle w:val="0"/>
        <w:spacing w:before="200" w:lineRule="auto"/>
        <w:ind w:firstLine="540"/>
        <w:jc w:val="both"/>
      </w:pPr>
      <w:r>
        <w:rPr>
          <w:sz w:val="20"/>
        </w:rPr>
        <w:t xml:space="preserve">4.6.3. Площадь бизнес-парка,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инфраструктуры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более 80 000 кв. метров территории земельного участка.</w:t>
      </w:r>
    </w:p>
    <w:p>
      <w:pPr>
        <w:pStyle w:val="0"/>
        <w:spacing w:before="200" w:lineRule="auto"/>
        <w:ind w:firstLine="540"/>
        <w:jc w:val="both"/>
      </w:pPr>
      <w:r>
        <w:rPr>
          <w:sz w:val="20"/>
        </w:rPr>
        <w:t xml:space="preserve">Площадь бизнес-парка, созданного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более 20 000 кв. метров производственных площадей, предназначенных для размещения резидентов.</w:t>
      </w:r>
    </w:p>
    <w:p>
      <w:pPr>
        <w:pStyle w:val="0"/>
        <w:spacing w:before="200" w:lineRule="auto"/>
        <w:ind w:firstLine="540"/>
        <w:jc w:val="both"/>
      </w:pPr>
      <w:r>
        <w:rPr>
          <w:sz w:val="20"/>
        </w:rPr>
        <w:t xml:space="preserve">4.6.4. На территории индустриального (промышленного) парка, агропромышленного парка, технопарка, промышленного технопарка, бизнес-парка могут быть размещены один или несколько объектов технологической инфраструктуры, включающих:</w:t>
      </w:r>
    </w:p>
    <w:p>
      <w:pPr>
        <w:pStyle w:val="0"/>
        <w:spacing w:before="200" w:lineRule="auto"/>
        <w:ind w:firstLine="540"/>
        <w:jc w:val="both"/>
      </w:pPr>
      <w:r>
        <w:rPr>
          <w:sz w:val="20"/>
        </w:rPr>
        <w:t xml:space="preserve">а) бизнес-инкубатор;</w:t>
      </w:r>
    </w:p>
    <w:p>
      <w:pPr>
        <w:pStyle w:val="0"/>
        <w:spacing w:before="200" w:lineRule="auto"/>
        <w:ind w:firstLine="540"/>
        <w:jc w:val="both"/>
      </w:pPr>
      <w:r>
        <w:rPr>
          <w:sz w:val="20"/>
        </w:rPr>
        <w:t xml:space="preserve">б) технологический инкубатор;</w:t>
      </w:r>
    </w:p>
    <w:p>
      <w:pPr>
        <w:pStyle w:val="0"/>
        <w:spacing w:before="200" w:lineRule="auto"/>
        <w:ind w:firstLine="540"/>
        <w:jc w:val="both"/>
      </w:pPr>
      <w:r>
        <w:rPr>
          <w:sz w:val="20"/>
        </w:rPr>
        <w:t xml:space="preserve">в) ЦКР;</w:t>
      </w:r>
    </w:p>
    <w:p>
      <w:pPr>
        <w:pStyle w:val="0"/>
        <w:spacing w:before="200" w:lineRule="auto"/>
        <w:ind w:firstLine="540"/>
        <w:jc w:val="both"/>
      </w:pPr>
      <w:r>
        <w:rPr>
          <w:sz w:val="20"/>
        </w:rPr>
        <w:t xml:space="preserve">г) РЦИ;</w:t>
      </w:r>
    </w:p>
    <w:p>
      <w:pPr>
        <w:pStyle w:val="0"/>
        <w:spacing w:before="200" w:lineRule="auto"/>
        <w:ind w:firstLine="540"/>
        <w:jc w:val="both"/>
      </w:pPr>
      <w:r>
        <w:rPr>
          <w:sz w:val="20"/>
        </w:rPr>
        <w:t xml:space="preserve">д) центр сертификации;</w:t>
      </w:r>
    </w:p>
    <w:p>
      <w:pPr>
        <w:pStyle w:val="0"/>
        <w:spacing w:before="200" w:lineRule="auto"/>
        <w:ind w:firstLine="540"/>
        <w:jc w:val="both"/>
      </w:pPr>
      <w:r>
        <w:rPr>
          <w:sz w:val="20"/>
        </w:rPr>
        <w:t xml:space="preserve">е) центр прототипирования;</w:t>
      </w:r>
    </w:p>
    <w:p>
      <w:pPr>
        <w:pStyle w:val="0"/>
        <w:spacing w:before="200" w:lineRule="auto"/>
        <w:ind w:firstLine="540"/>
        <w:jc w:val="both"/>
      </w:pPr>
      <w:r>
        <w:rPr>
          <w:sz w:val="20"/>
        </w:rPr>
        <w:t xml:space="preserve">ж) центр коллективного пользования промышленным и технологическим оборудованием (часть общей площади зданий (помещений) индустриального (промышленного) парка, агропромышленного парка, технопарка, промышленного технопарка, бизнес-парка, предназначенная для размещения производственного, технологического, инженерного, иного оборудования и программного обеспечения, находящегося в совместном пользовании не менее двух резидентов индустриального (промышленного) парка, агропромышленного парка, технопарка, промышленного технопарка, бизнес-парка и иных арендаторов помещений индустриального (промышленного) парка, агропромышленного парка, технопарка, промышленного технопарка, бизнес-парка в целях осуществления ими производственной деятельности, в том числе организации опытного, мелкосерийного или серийного производства промышленной продукции). Минимальная площадь объекта технологической инфраструктуры - 50 кв. метров;</w:t>
      </w:r>
    </w:p>
    <w:p>
      <w:pPr>
        <w:pStyle w:val="0"/>
        <w:spacing w:before="200" w:lineRule="auto"/>
        <w:ind w:firstLine="540"/>
        <w:jc w:val="both"/>
      </w:pPr>
      <w:r>
        <w:rPr>
          <w:sz w:val="20"/>
        </w:rPr>
        <w:t xml:space="preserve">з) иные объекты технологической инфраструктуры, необходимые для осуществления резидентами инновационной и (или) научно-технической деятельности.</w:t>
      </w:r>
    </w:p>
    <w:p>
      <w:pPr>
        <w:pStyle w:val="0"/>
        <w:spacing w:before="200" w:lineRule="auto"/>
        <w:ind w:firstLine="540"/>
        <w:jc w:val="both"/>
      </w:pPr>
      <w:r>
        <w:rPr>
          <w:sz w:val="20"/>
        </w:rPr>
        <w:t xml:space="preserve">4.6.4.1. При реализации проекта по созданию и (или) развитию технопарка, промышленного технопарка, бизнес-парка может быть задействован бизнес-инкубатор, созданный на территории субъекта Российской Федерации за счет средств субсидии в рамках государственной </w:t>
      </w:r>
      <w:hyperlink w:history="0" r:id="rId82"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программы</w:t>
        </w:r>
      </w:hyperlink>
      <w:r>
        <w:rPr>
          <w:sz w:val="20"/>
        </w:rPr>
        <w:t xml:space="preserve"> "Экономическое развитие и инновационная экономика".</w:t>
      </w:r>
    </w:p>
    <w:p>
      <w:pPr>
        <w:pStyle w:val="0"/>
        <w:spacing w:before="200" w:lineRule="auto"/>
        <w:ind w:firstLine="540"/>
        <w:jc w:val="both"/>
      </w:pPr>
      <w:r>
        <w:rPr>
          <w:sz w:val="20"/>
        </w:rPr>
        <w:t xml:space="preserve">4.7. Основные услуги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а) предоставление в аренду земельных участков, помещений и объектов инфраструктуры, обеспечение инженерной, транспортной, логистической, телекоммуникационной инфраструктурой;</w:t>
      </w:r>
    </w:p>
    <w:p>
      <w:pPr>
        <w:pStyle w:val="0"/>
        <w:spacing w:before="200" w:lineRule="auto"/>
        <w:ind w:firstLine="540"/>
        <w:jc w:val="both"/>
      </w:pPr>
      <w:r>
        <w:rPr>
          <w:sz w:val="20"/>
        </w:rPr>
        <w:t xml:space="preserve">б) оказание услуг по переработке продукции и сервисных услуг, в том числе обеспечение энергоресурсами, водообеспечением, водоотведением, услуг центра коллективного пользования промышленным и технологическим оборудованием.</w:t>
      </w:r>
    </w:p>
    <w:p>
      <w:pPr>
        <w:pStyle w:val="0"/>
        <w:spacing w:before="200" w:lineRule="auto"/>
        <w:ind w:firstLine="540"/>
        <w:jc w:val="both"/>
      </w:pPr>
      <w:r>
        <w:rPr>
          <w:sz w:val="20"/>
        </w:rPr>
        <w:t xml:space="preserve">4.7.1. В рамках своей деятельности технопарк, промышленный технопарк, бизнес-парк обеспечивают благоприятные условия для развития деятельности их резидентов в научно-технической, инновационной и производственной сферах путем создания материально-технической и информационной связи для подготовки к самостоятельной деятельности инновационных и производственных субъектов МСП, производственного освоения научных знаний и наукоемких технологий.</w:t>
      </w:r>
    </w:p>
    <w:p>
      <w:pPr>
        <w:pStyle w:val="0"/>
        <w:spacing w:before="200" w:lineRule="auto"/>
        <w:ind w:firstLine="540"/>
        <w:jc w:val="both"/>
      </w:pPr>
      <w:r>
        <w:rPr>
          <w:sz w:val="20"/>
        </w:rPr>
        <w:t xml:space="preserve">4.8. Управление комплексом объектов недвижимости индустриального (промышленного) парка, агропромышленного парка, технопарка, промышленного технопарка, бизнес-парка, а также имущественным комплексом, включающим в себя офисные, технические, производственные, административные, складские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объекты инновационной, инженерной, технологической и транспортной инфраструктуры (далее - имущественный комплекс), а также осуществление его организационной деятельности должно осуществляться управляющей компанией.</w:t>
      </w:r>
    </w:p>
    <w:p>
      <w:pPr>
        <w:pStyle w:val="0"/>
        <w:spacing w:before="200" w:lineRule="auto"/>
        <w:ind w:firstLine="540"/>
        <w:jc w:val="both"/>
      </w:pPr>
      <w:r>
        <w:rPr>
          <w:sz w:val="20"/>
        </w:rPr>
        <w:t xml:space="preserve">4.8.1.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 на постоянной основе размещение и обновление (актуализацию) (не реже 1 раза в месяц) в геоинформационной системе индустриальных парков и на официальном сайте индустриального (промышленного) парка, агропромышленного парка, технопарка, промышленного технопарка, бизнес-парка в сети "Интернет" и (или) на сайте центра "Мой бизнес" следующей информации:</w:t>
      </w:r>
    </w:p>
    <w:p>
      <w:pPr>
        <w:pStyle w:val="0"/>
        <w:spacing w:before="200" w:lineRule="auto"/>
        <w:ind w:firstLine="540"/>
        <w:jc w:val="both"/>
      </w:pPr>
      <w:r>
        <w:rPr>
          <w:sz w:val="20"/>
        </w:rPr>
        <w:t xml:space="preserve">а) сведения об индустриальном (промышленном) парке, агропромышленном парке, технопарке, промышленном технопарке, бизнес-парке;</w:t>
      </w:r>
    </w:p>
    <w:p>
      <w:pPr>
        <w:pStyle w:val="0"/>
        <w:spacing w:before="200" w:lineRule="auto"/>
        <w:ind w:firstLine="540"/>
        <w:jc w:val="both"/>
      </w:pPr>
      <w:r>
        <w:rPr>
          <w:sz w:val="20"/>
        </w:rPr>
        <w:t xml:space="preserve">б) сведения об управляющей компании и учредителях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в) сведения о помещениях и площадях индустриального (промышленного) парка, агропромышленного парка, технопарка, промышленного технопарка, бизнес-парка (в том числе свободных), а также информация об условиях и сроках проведения конкурсных отборов для размещения в индустриальном (промышленном) парке, агропромышленном парке, технопарке, промышленном технопарке, бизнес-парке резидентов и организаций, образующих инфраструктуру поддержки субъектов МСП;</w:t>
      </w:r>
    </w:p>
    <w:p>
      <w:pPr>
        <w:pStyle w:val="0"/>
        <w:spacing w:before="200" w:lineRule="auto"/>
        <w:ind w:firstLine="540"/>
        <w:jc w:val="both"/>
      </w:pPr>
      <w:r>
        <w:rPr>
          <w:sz w:val="20"/>
        </w:rPr>
        <w:t xml:space="preserve">г) сведения о резидентах и организациях, образующих инфраструктуру поддержки субъектов МСП, размещающихся в индустриальном (промышленном) парке, агропромышленном парке, технопарке, промышленном технопарке, бизнес-парке, с указанием их отраслевой принадлежности, производимых товаров, оказываемых услуг;</w:t>
      </w:r>
    </w:p>
    <w:p>
      <w:pPr>
        <w:pStyle w:val="0"/>
        <w:spacing w:before="200" w:lineRule="auto"/>
        <w:ind w:firstLine="540"/>
        <w:jc w:val="both"/>
      </w:pPr>
      <w:r>
        <w:rPr>
          <w:sz w:val="20"/>
        </w:rPr>
        <w:t xml:space="preserve">д) сведения о деятельности индустриального (промышленного) парка, агропромышленного парка, технопарка, промышленного технопарка, бизнес-парка, о его услугах, в том числе о стоимости предоставляемых услуг;</w:t>
      </w:r>
    </w:p>
    <w:p>
      <w:pPr>
        <w:pStyle w:val="0"/>
        <w:spacing w:before="200" w:lineRule="auto"/>
        <w:ind w:firstLine="540"/>
        <w:jc w:val="both"/>
      </w:pPr>
      <w:r>
        <w:rPr>
          <w:sz w:val="20"/>
        </w:rPr>
        <w:t xml:space="preserve">е) отчеты о деятельности индустриального (промышленного) парка, агропромышленного парка, технопарка, промышленного технопарка, бизнес-парка за предыдущие годы со дня создания;</w:t>
      </w:r>
    </w:p>
    <w:p>
      <w:pPr>
        <w:pStyle w:val="0"/>
        <w:spacing w:before="200" w:lineRule="auto"/>
        <w:ind w:firstLine="540"/>
        <w:jc w:val="both"/>
      </w:pPr>
      <w:r>
        <w:rPr>
          <w:sz w:val="20"/>
        </w:rPr>
        <w:t xml:space="preserve">ж) дополнительные информационные сервисы в целях информирования действующих и потенциальных резидентов и пользователей инфраструктуры индустриального (промышленного) парка, агропромышленного парка, технопарка, промышленного технопарка, бизнес-парка (например, базы данных, содержащих информацию о закупках для обеспечения государственных и муниципальных нужд, сведения о мерах поддержки субъектов МСП).</w:t>
      </w:r>
    </w:p>
    <w:bookmarkStart w:id="1092" w:name="P1092"/>
    <w:bookmarkEnd w:id="1092"/>
    <w:p>
      <w:pPr>
        <w:pStyle w:val="0"/>
        <w:spacing w:before="200" w:lineRule="auto"/>
        <w:ind w:firstLine="540"/>
        <w:jc w:val="both"/>
      </w:pPr>
      <w:r>
        <w:rPr>
          <w:sz w:val="20"/>
        </w:rPr>
        <w:t xml:space="preserve">4.8.2.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w:t>
      </w:r>
    </w:p>
    <w:p>
      <w:pPr>
        <w:pStyle w:val="0"/>
        <w:spacing w:before="200" w:lineRule="auto"/>
        <w:ind w:firstLine="540"/>
        <w:jc w:val="both"/>
      </w:pPr>
      <w:r>
        <w:rPr>
          <w:sz w:val="20"/>
        </w:rPr>
        <w:t xml:space="preserve">а) функционирование имущественного комплекса индустриального (промышленного) парка, агропромышленного парка, технопарка, промышленного технопарка, бизнес-парка и инфраструктуры общего пользования (административные здания, инженерные сети, подъездные пути), обеспечение содержания общей территории, организацию охраны, уборки общей территории;</w:t>
      </w:r>
    </w:p>
    <w:p>
      <w:pPr>
        <w:pStyle w:val="0"/>
        <w:spacing w:before="200" w:lineRule="auto"/>
        <w:ind w:firstLine="540"/>
        <w:jc w:val="both"/>
      </w:pPr>
      <w:r>
        <w:rPr>
          <w:sz w:val="20"/>
        </w:rPr>
        <w:t xml:space="preserve">б) управление имущественным комплексом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в) резидентов индустриального (промышленного) парка, агропромышленного парка, технопарка, промышленного технопарка, бизнес-парка энергетическими ресурсами (электроэнергия, тепловая энергия, альтернативные возобновляемые источники энергии);</w:t>
      </w:r>
    </w:p>
    <w:p>
      <w:pPr>
        <w:pStyle w:val="0"/>
        <w:spacing w:before="200" w:lineRule="auto"/>
        <w:ind w:firstLine="540"/>
        <w:jc w:val="both"/>
      </w:pPr>
      <w:r>
        <w:rPr>
          <w:sz w:val="20"/>
        </w:rPr>
        <w:t xml:space="preserve">г) водоснабжение и водоотведение на территории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д) сбор информации, необходимой для включения в реестр резидентов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е) доступ на территорию индустриального (промышленного) парка, агропромышленного парка, технопарка, промышленного технопарка, бизнес-парка лиц с ограниченными возможностями передвижения;</w:t>
      </w:r>
    </w:p>
    <w:p>
      <w:pPr>
        <w:pStyle w:val="0"/>
        <w:spacing w:before="200" w:lineRule="auto"/>
        <w:ind w:firstLine="540"/>
        <w:jc w:val="both"/>
      </w:pPr>
      <w:r>
        <w:rPr>
          <w:sz w:val="20"/>
        </w:rPr>
        <w:t xml:space="preserve">ж) организацию обучения и повышения квалификации сотрудников управляющей компании индустриального (промышленного) парка, агропромышленного парка, технопарка, промышленного технопарка, бизнес-парка на базе центров "Мой бизнес";</w:t>
      </w:r>
    </w:p>
    <w:p>
      <w:pPr>
        <w:pStyle w:val="0"/>
        <w:spacing w:before="200" w:lineRule="auto"/>
        <w:ind w:firstLine="540"/>
        <w:jc w:val="both"/>
      </w:pPr>
      <w:r>
        <w:rPr>
          <w:sz w:val="20"/>
        </w:rPr>
        <w:t xml:space="preserve">з) взаимодействие с региональным центром "Мой бизнес" и информирование резидентов (потенциальных резидентов) индустриального (промышленного) парка, агропромышленного парка, технопарка, промышленного технопарка, бизнес-парка об услугах центра "Мой бизнес";</w:t>
      </w:r>
    </w:p>
    <w:p>
      <w:pPr>
        <w:pStyle w:val="0"/>
        <w:spacing w:before="200" w:lineRule="auto"/>
        <w:ind w:firstLine="540"/>
        <w:jc w:val="both"/>
      </w:pPr>
      <w:r>
        <w:rPr>
          <w:sz w:val="20"/>
        </w:rPr>
        <w:t xml:space="preserve">и) информирование резидентов (потенциальных резидентов) о наличии свободных площадей на территории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к) разработку совместно с исполнительным органом субъекта Российской Федерации, уполномоченным высшим исполнительным органом субъекта Российской Федерации на взаимодействие с Минэкономразвития России в соответствии с </w:t>
      </w:r>
      <w:hyperlink w:history="0" r:id="rId83" w:tooltip="Постановление Правительства РФ от 15.04.2014 N 316 (ред. от 05.08.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24</w:t>
        </w:r>
      </w:hyperlink>
      <w:r>
        <w:rPr>
          <w:sz w:val="20"/>
        </w:rPr>
        <w:t xml:space="preserve"> Правил, приведенных в приложении N 48, порядка отбора резидентов (потенциальных резидентов)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л) содействие в привлечении внешних средств для работы резидентов, в том числе грантов, субсидий или инвестиционных средств;</w:t>
      </w:r>
    </w:p>
    <w:p>
      <w:pPr>
        <w:pStyle w:val="0"/>
        <w:spacing w:before="200" w:lineRule="auto"/>
        <w:ind w:firstLine="540"/>
        <w:jc w:val="both"/>
      </w:pPr>
      <w:r>
        <w:rPr>
          <w:sz w:val="20"/>
        </w:rPr>
        <w:t xml:space="preserve">м) формирование среды информационного обмена между резидентами, организацию образовательных программ и тренингов;</w:t>
      </w:r>
    </w:p>
    <w:p>
      <w:pPr>
        <w:pStyle w:val="0"/>
        <w:spacing w:before="200" w:lineRule="auto"/>
        <w:ind w:firstLine="540"/>
        <w:jc w:val="both"/>
      </w:pPr>
      <w:r>
        <w:rPr>
          <w:sz w:val="20"/>
        </w:rPr>
        <w:t xml:space="preserve">н) привлечение потенциальных резидентов на территорию индустриального (промышленного) парка, агропромышленного парка, технопарка, промышленного технопарка, бизнес-парка в соответствии с </w:t>
      </w:r>
      <w:hyperlink w:history="0" w:anchor="P1058" w:tooltip="4.5.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могут быть субъекты МСП, осуществляющие деятельность, относящуюся к обрабатывающему производству (за исключением производства табачных изделий) в соответствии с ОКВЭД или научным исследованиям и разработкам, роботизации, или техническим испытаниям, исследованиям, анализу и сертификации или деятельности в области информации и связи, разработки ком...">
        <w:r>
          <w:rPr>
            <w:sz w:val="20"/>
            <w:color w:val="0000ff"/>
          </w:rPr>
          <w:t xml:space="preserve">подпунктом 4.5 пункта 4</w:t>
        </w:r>
      </w:hyperlink>
      <w:r>
        <w:rPr>
          <w:sz w:val="20"/>
        </w:rPr>
        <w:t xml:space="preserve"> настоящих Требований.</w:t>
      </w:r>
    </w:p>
    <w:p>
      <w:pPr>
        <w:pStyle w:val="0"/>
        <w:spacing w:before="200" w:lineRule="auto"/>
        <w:ind w:firstLine="540"/>
        <w:jc w:val="both"/>
      </w:pPr>
      <w:r>
        <w:rPr>
          <w:sz w:val="20"/>
        </w:rPr>
        <w:t xml:space="preserve">4.8.2.1. Управляющая компания индустриального (промышленного) парка, агропромышленного парка, помимо требований, указанных в </w:t>
      </w:r>
      <w:hyperlink w:history="0" w:anchor="P1092" w:tooltip="4.8.2.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
        <w:r>
          <w:rPr>
            <w:sz w:val="20"/>
            <w:color w:val="0000ff"/>
          </w:rPr>
          <w:t xml:space="preserve">подпункте 4.8.2 пункта 4</w:t>
        </w:r>
      </w:hyperlink>
      <w:r>
        <w:rPr>
          <w:sz w:val="20"/>
        </w:rPr>
        <w:t xml:space="preserve"> настоящих Требований, должна обеспечивать:</w:t>
      </w:r>
    </w:p>
    <w:p>
      <w:pPr>
        <w:pStyle w:val="0"/>
        <w:spacing w:before="200" w:lineRule="auto"/>
        <w:ind w:firstLine="540"/>
        <w:jc w:val="both"/>
      </w:pPr>
      <w:r>
        <w:rPr>
          <w:sz w:val="20"/>
        </w:rPr>
        <w:t xml:space="preserve">а) предоставление в аренду и (или) продажу в собственность земельных участков, входящих в состав территории индустриального (промышленного) парка, агропромышленного парка;</w:t>
      </w:r>
    </w:p>
    <w:p>
      <w:pPr>
        <w:pStyle w:val="0"/>
        <w:spacing w:before="200" w:lineRule="auto"/>
        <w:ind w:firstLine="540"/>
        <w:jc w:val="both"/>
      </w:pPr>
      <w:r>
        <w:rPr>
          <w:sz w:val="20"/>
        </w:rPr>
        <w:t xml:space="preserve">б) заключение соглашений о ведении деятельности на территории индустриального (промышленного) парка, агропромышленного парка, обеспечение выполнения условий соглашений в рамках своих обязательств, участие в осуществлении контроля за выполнением резидентами условий соглашений;</w:t>
      </w:r>
    </w:p>
    <w:p>
      <w:pPr>
        <w:pStyle w:val="0"/>
        <w:spacing w:before="200" w:lineRule="auto"/>
        <w:ind w:firstLine="540"/>
        <w:jc w:val="both"/>
      </w:pPr>
      <w:r>
        <w:rPr>
          <w:sz w:val="20"/>
        </w:rPr>
        <w:t xml:space="preserve">в) сохранность оборудования центра коллективного пользования оборудованием и условий его эксплуатации в соответствии с условиями предоставления субсидии и требованиями к созданию ЦКР с оказанием технологических услуг, указанными в </w:t>
      </w:r>
      <w:hyperlink w:history="0" w:anchor="P980" w:tooltip="3.5.7.4. В случае приобретения ЦКР технологического оборудования по типу центра прототипирования (далее - ЦКР с оказанием технологических услуг) на такой ЦКР распространяются требования к созданию центра прототипирования и центров коллективного пользования, в том числе в части дополнительного штата (наличия в штате сотрудника, имеющего техническое или инженерное образование).">
        <w:r>
          <w:rPr>
            <w:sz w:val="20"/>
            <w:color w:val="0000ff"/>
          </w:rPr>
          <w:t xml:space="preserve">подпункте 3.5.7.4 пункта 3</w:t>
        </w:r>
      </w:hyperlink>
      <w:r>
        <w:rPr>
          <w:sz w:val="20"/>
        </w:rPr>
        <w:t xml:space="preserve"> настоящих Требований;</w:t>
      </w:r>
    </w:p>
    <w:p>
      <w:pPr>
        <w:pStyle w:val="0"/>
        <w:spacing w:before="200" w:lineRule="auto"/>
        <w:ind w:firstLine="540"/>
        <w:jc w:val="both"/>
      </w:pPr>
      <w:r>
        <w:rPr>
          <w:sz w:val="20"/>
        </w:rPr>
        <w:t xml:space="preserve">г) подготовку и направление документов в Минпромторг России в целях получения подтверждения соответствия индустриального (промышленного) парка, агропромышленного парка </w:t>
      </w:r>
      <w:hyperlink w:history="0" r:id="rId84"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утвержденным постановлением Правительства Российской Федерации N 794, не позднее чем за 6 месяцев до плановой даты ввода индустриального (промышленного) парка, агропромышленного парка в эксплуатацию.</w:t>
      </w:r>
    </w:p>
    <w:p>
      <w:pPr>
        <w:pStyle w:val="0"/>
        <w:spacing w:before="200" w:lineRule="auto"/>
        <w:ind w:firstLine="540"/>
        <w:jc w:val="both"/>
      </w:pPr>
      <w:r>
        <w:rPr>
          <w:sz w:val="20"/>
        </w:rPr>
        <w:t xml:space="preserve">4.8.2.2. Управляющая компания технопарка, промышленного технопарка, бизнес-парка, помимо требований, указанных в </w:t>
      </w:r>
      <w:hyperlink w:history="0" w:anchor="P1092" w:tooltip="4.8.2.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
        <w:r>
          <w:rPr>
            <w:sz w:val="20"/>
            <w:color w:val="0000ff"/>
          </w:rPr>
          <w:t xml:space="preserve">подпункте 4.8.2 пункта 4</w:t>
        </w:r>
      </w:hyperlink>
      <w:r>
        <w:rPr>
          <w:sz w:val="20"/>
        </w:rPr>
        <w:t xml:space="preserve"> настоящих Требований, должна обеспечивать:</w:t>
      </w:r>
    </w:p>
    <w:p>
      <w:pPr>
        <w:pStyle w:val="0"/>
        <w:spacing w:before="200" w:lineRule="auto"/>
        <w:ind w:firstLine="540"/>
        <w:jc w:val="both"/>
      </w:pPr>
      <w:r>
        <w:rPr>
          <w:sz w:val="20"/>
        </w:rPr>
        <w:t xml:space="preserve">а) создание технопарка, промышленного технопарка, бизнес-парка и управление им, в том числе в случае необходимости планировки территории технопарка, промышленного технопарка, бизнес-парка как совокупности земельных участков, относящихся к одной категории и обеспеченных инфраструктурой и предназначенных для создания и развития технопарка, промышленного технопарка, бизнес-парка и размещения резидентов, проектирования, строительства и эксплуатации объектов имущественного комплекса технопарка, промышленного технопарка;</w:t>
      </w:r>
    </w:p>
    <w:p>
      <w:pPr>
        <w:pStyle w:val="0"/>
        <w:spacing w:before="200" w:lineRule="auto"/>
        <w:ind w:firstLine="540"/>
        <w:jc w:val="both"/>
      </w:pPr>
      <w:r>
        <w:rPr>
          <w:sz w:val="20"/>
        </w:rPr>
        <w:t xml:space="preserve">б) реализацию бизнес-плана создания и (или) развития технопарка, промышленного технопарка, бизнес-парка;</w:t>
      </w:r>
    </w:p>
    <w:p>
      <w:pPr>
        <w:pStyle w:val="0"/>
        <w:spacing w:before="200" w:lineRule="auto"/>
        <w:ind w:firstLine="540"/>
        <w:jc w:val="both"/>
      </w:pPr>
      <w:r>
        <w:rPr>
          <w:sz w:val="20"/>
        </w:rPr>
        <w:t xml:space="preserve">в) предоставление услуг резидентам, в том числе с привлечением сервисных компаний (подрядчиков);</w:t>
      </w:r>
    </w:p>
    <w:p>
      <w:pPr>
        <w:pStyle w:val="0"/>
        <w:spacing w:before="200" w:lineRule="auto"/>
        <w:ind w:firstLine="540"/>
        <w:jc w:val="both"/>
      </w:pPr>
      <w:r>
        <w:rPr>
          <w:sz w:val="20"/>
        </w:rPr>
        <w:t xml:space="preserve">г) создание и обеспечение деятельности экспертного совета - органа, осуществляющего экспертные функции по проведению отбора субъектов МСП, реализующих высокотехнологичные проекты, на присвоение им статуса резидентов технопарка, промышленного технопарка, бизнес-парка;</w:t>
      </w:r>
    </w:p>
    <w:p>
      <w:pPr>
        <w:pStyle w:val="0"/>
        <w:spacing w:before="200" w:lineRule="auto"/>
        <w:ind w:firstLine="540"/>
        <w:jc w:val="both"/>
      </w:pPr>
      <w:r>
        <w:rPr>
          <w:sz w:val="20"/>
        </w:rPr>
        <w:t xml:space="preserve">д) привлечение необходимых внешних ресурсов, финансовых и материальных средств, включая инвестиции, для создания и обеспечения функционирования инфраструктуры технопарка, промышленного технопарка, бизнес-парка;</w:t>
      </w:r>
    </w:p>
    <w:p>
      <w:pPr>
        <w:pStyle w:val="0"/>
        <w:spacing w:before="200" w:lineRule="auto"/>
        <w:ind w:firstLine="540"/>
        <w:jc w:val="both"/>
      </w:pPr>
      <w:r>
        <w:rPr>
          <w:sz w:val="20"/>
        </w:rPr>
        <w:t xml:space="preserve">е) привлечение на свою территорию институтов развития, финансовых и иных организаций, оказывающих содействие в финансировании и коммерциализации результатов научно-технической деятельности;</w:t>
      </w:r>
    </w:p>
    <w:p>
      <w:pPr>
        <w:pStyle w:val="0"/>
        <w:spacing w:before="200" w:lineRule="auto"/>
        <w:ind w:firstLine="540"/>
        <w:jc w:val="both"/>
      </w:pPr>
      <w:r>
        <w:rPr>
          <w:sz w:val="20"/>
        </w:rPr>
        <w:t xml:space="preserve">ж) формирование партнерских отношений и взаимодействие с инвесторами - венчурными фондами, которые имеют возможность инвестировать в развитие резидентов;</w:t>
      </w:r>
    </w:p>
    <w:p>
      <w:pPr>
        <w:pStyle w:val="0"/>
        <w:spacing w:before="200" w:lineRule="auto"/>
        <w:ind w:firstLine="540"/>
        <w:jc w:val="both"/>
      </w:pPr>
      <w:r>
        <w:rPr>
          <w:sz w:val="20"/>
        </w:rPr>
        <w:t xml:space="preserve">з) формирование партнерских отношений с научными организациями и образовательными организациями высшего образования, нацеленных на работу с научными коллективами, в том числе молодежными, в целях создания на их базе малых инновационных предприятий и кадрового усиления резидентов;</w:t>
      </w:r>
    </w:p>
    <w:p>
      <w:pPr>
        <w:pStyle w:val="0"/>
        <w:spacing w:before="200" w:lineRule="auto"/>
        <w:ind w:firstLine="540"/>
        <w:jc w:val="both"/>
      </w:pPr>
      <w:r>
        <w:rPr>
          <w:sz w:val="20"/>
        </w:rPr>
        <w:t xml:space="preserve">и) содействие резидентам при размещении принадлежащих им (создаваемых ими) предприятий (подразделений) на территории технопарка, промышленного технопарка, бизнес-парка,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pPr>
        <w:pStyle w:val="0"/>
        <w:spacing w:before="200" w:lineRule="auto"/>
        <w:ind w:firstLine="540"/>
        <w:jc w:val="both"/>
      </w:pPr>
      <w:r>
        <w:rPr>
          <w:sz w:val="20"/>
        </w:rPr>
        <w:t xml:space="preserve">к) привлечение специализированных сервисных компаний, высококвалифицированных специалистов для работы в технопарке, промышленном технопарке, бизнес-парке на постоянной или временной основе;</w:t>
      </w:r>
    </w:p>
    <w:p>
      <w:pPr>
        <w:pStyle w:val="0"/>
        <w:spacing w:before="200" w:lineRule="auto"/>
        <w:ind w:firstLine="540"/>
        <w:jc w:val="both"/>
      </w:pPr>
      <w:r>
        <w:rPr>
          <w:sz w:val="20"/>
        </w:rPr>
        <w:t xml:space="preserve">л) организацию взаимодействия с компаниями сервисной инфраструктуры, инвестиционными (венчурными) компаниями, представителями федеральных органов исполнительной власти и органов исполнительной власти субъектов Российской Федерации, а также институтами развития;</w:t>
      </w:r>
    </w:p>
    <w:p>
      <w:pPr>
        <w:pStyle w:val="0"/>
        <w:spacing w:before="200" w:lineRule="auto"/>
        <w:ind w:firstLine="540"/>
        <w:jc w:val="both"/>
      </w:pPr>
      <w:r>
        <w:rPr>
          <w:sz w:val="20"/>
        </w:rPr>
        <w:t xml:space="preserve">м) содействие созданию производств с новыми технологиями либо развитию высокотехнологичных производств, выпускающих законченную продукцию для реализации ее на рынке;</w:t>
      </w:r>
    </w:p>
    <w:p>
      <w:pPr>
        <w:pStyle w:val="0"/>
        <w:spacing w:before="200" w:lineRule="auto"/>
        <w:ind w:firstLine="540"/>
        <w:jc w:val="both"/>
      </w:pPr>
      <w:r>
        <w:rPr>
          <w:sz w:val="20"/>
        </w:rPr>
        <w:t xml:space="preserve">н) содействие в осуществлении внешнеэкономической деятельности в целях продвижения на внешний рынок продукции резидентов, а также содействие в демонстрации продукции резидентов на российских и международных выставках;</w:t>
      </w:r>
    </w:p>
    <w:p>
      <w:pPr>
        <w:pStyle w:val="0"/>
        <w:spacing w:before="200" w:lineRule="auto"/>
        <w:ind w:firstLine="540"/>
        <w:jc w:val="both"/>
      </w:pPr>
      <w:r>
        <w:rPr>
          <w:sz w:val="20"/>
        </w:rPr>
        <w:t xml:space="preserve">о) подготовку и направление документов в Минпромторг России в целях получения подтверждения соответствия промышленного технопарка </w:t>
      </w:r>
      <w:hyperlink w:history="0" r:id="rId85"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утвержденным постановлением Правительства Российской Федерации N 1863, не позднее чем за 6 месяцев до плановой даты ввода промышленного технопарка в эксплуатацию.</w:t>
      </w:r>
    </w:p>
    <w:p>
      <w:pPr>
        <w:pStyle w:val="0"/>
        <w:spacing w:before="200" w:lineRule="auto"/>
        <w:ind w:firstLine="540"/>
        <w:jc w:val="both"/>
      </w:pPr>
      <w:r>
        <w:rPr>
          <w:sz w:val="20"/>
        </w:rPr>
        <w:t xml:space="preserve">4.8.2.3. Для достижения устойчивого выполнения требований управляющая компания индустриального (промышленного) парка, агропромышленного парка, технопарка, промышленного технопарка, бизнес-парка должна определить основные управленческие процессы, необходимые для их реализации, и обеспечить их менеджмент в соответствии с </w:t>
      </w:r>
      <w:hyperlink w:history="0" r:id="rId86" w:tooltip="&quot;ГОСТ Р ИСО 9000-2015. Национальный стандарт Российской Федерации. Системы менеджмента качества. Основные положения и словарь&quot; (утв. Приказом Росстандарта от 28.09.2015 N 1390-ст) {КонсультантПлюс}">
        <w:r>
          <w:rPr>
            <w:sz w:val="20"/>
            <w:color w:val="0000ff"/>
          </w:rPr>
          <w:t xml:space="preserve">пунктом 2.4</w:t>
        </w:r>
      </w:hyperlink>
      <w:r>
        <w:rPr>
          <w:sz w:val="20"/>
        </w:rPr>
        <w:t xml:space="preserve"> национального стандарта Российской Федерации ГОСТ Р ИСО 9000-2015 "Системы менеджмента качества. Основные положения и словарь", утвержденного </w:t>
      </w:r>
      <w:hyperlink w:history="0" r:id="rId87" w:tooltip="Приказ Росстандарта от 28.09.2015 N 1390-ст &quot;Об утверждении национального стандарта&quot; {КонсультантПлюс}">
        <w:r>
          <w:rPr>
            <w:sz w:val="20"/>
            <w:color w:val="0000ff"/>
          </w:rPr>
          <w:t xml:space="preserve">приказом</w:t>
        </w:r>
      </w:hyperlink>
      <w:r>
        <w:rPr>
          <w:sz w:val="20"/>
        </w:rPr>
        <w:t xml:space="preserve"> Росстандарта от 28 сентября 2015 г. N 1390-ст, и </w:t>
      </w:r>
      <w:hyperlink w:history="0" r:id="rId88" w:tooltip="&quot;ГОСТ Р ИСО 9001-2015. Национальный стандарт Российской Федерации. Системы менеджмента качества. Требования&quot; (утв. Приказом Росстандарта от 28.09.2015 N 1391-ст) (вместе с &quot;Разъяснением новой структуры, терминологии и понятий&quot;, &quot;Другими международными стандартами в области менеджмента качества и на системы менеджмента качества, разработанными ИСО/ТК 176&quot;) {КонсультантПлюс}">
        <w:r>
          <w:rPr>
            <w:sz w:val="20"/>
            <w:color w:val="0000ff"/>
          </w:rPr>
          <w:t xml:space="preserve">пунктом 4.4</w:t>
        </w:r>
      </w:hyperlink>
      <w:r>
        <w:rPr>
          <w:sz w:val="20"/>
        </w:rPr>
        <w:t xml:space="preserve"> национального стандарта Российской Федерации ГОСТ Р ИСО 9001-2015 "Национальный стандарт Российской Федерации. Системы менеджмента качества. Требования", утвержденного </w:t>
      </w:r>
      <w:hyperlink w:history="0" r:id="rId89" w:tooltip="Приказ Росстандарта от 28.09.2015 N 1391-ст &quot;Об утверждении национального стандарта&quot; {КонсультантПлюс}">
        <w:r>
          <w:rPr>
            <w:sz w:val="20"/>
            <w:color w:val="0000ff"/>
          </w:rPr>
          <w:t xml:space="preserve">приказом</w:t>
        </w:r>
      </w:hyperlink>
      <w:r>
        <w:rPr>
          <w:sz w:val="20"/>
        </w:rPr>
        <w:t xml:space="preserve"> Росстандарта от 28 сентября 2015 г. N 1391-ст.</w:t>
      </w:r>
    </w:p>
    <w:p>
      <w:pPr>
        <w:pStyle w:val="0"/>
        <w:spacing w:before="200" w:lineRule="auto"/>
        <w:ind w:firstLine="540"/>
        <w:jc w:val="both"/>
      </w:pPr>
      <w:r>
        <w:rPr>
          <w:sz w:val="20"/>
        </w:rPr>
        <w:t xml:space="preserve">При отсутствии данных сертификатов управляющая компания индустриального (промышленного) парка, агропромышленного парка, технопарка, промышленного технопарка, бизнес-парка должна обеспечить их наличие в течение 3 лет со дня предоставления субсидии на реализацию проекта по созданию и (или) развитию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4.8.3. Управляющая компания индустриального (промышленного) парка, агропромышленного парка, технопарка, промышленного технопарка, бизнес-парка должна быть зарегистрирована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4.8.4.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w:t>
      </w:r>
    </w:p>
    <w:p>
      <w:pPr>
        <w:pStyle w:val="0"/>
        <w:spacing w:before="200" w:lineRule="auto"/>
        <w:ind w:firstLine="540"/>
        <w:jc w:val="both"/>
      </w:pPr>
      <w:r>
        <w:rPr>
          <w:sz w:val="20"/>
        </w:rPr>
        <w:t xml:space="preserve">а) внесение и актуализацию общих сведений о индустриальном (промышленном) парке, агропромышленном парке, технопарке, промышленном технопарке, бизнес-парке на ЦП МСП;</w:t>
      </w:r>
    </w:p>
    <w:p>
      <w:pPr>
        <w:pStyle w:val="0"/>
        <w:spacing w:before="200" w:lineRule="auto"/>
        <w:ind w:firstLine="540"/>
        <w:jc w:val="both"/>
      </w:pPr>
      <w:r>
        <w:rPr>
          <w:sz w:val="20"/>
        </w:rPr>
        <w:t xml:space="preserve">б) внесение и актуализацию сведений на ЦП МСП о резидентах, в том числе субъектах МСП, и организациях, образующих инфраструктуру поддержки субъектов МСП, размещающихся в индустриальном (промышленном) парке, агропромышленном парке, технопарке, промышленном технопарке, бизнес-парке, с указанием их отраслевой принадлежности, производимых товаров, оказываемых услуг;</w:t>
      </w:r>
    </w:p>
    <w:p>
      <w:pPr>
        <w:pStyle w:val="0"/>
        <w:spacing w:before="200" w:lineRule="auto"/>
        <w:ind w:firstLine="540"/>
        <w:jc w:val="both"/>
      </w:pPr>
      <w:r>
        <w:rPr>
          <w:sz w:val="20"/>
        </w:rPr>
        <w:t xml:space="preserve">в) публикацию на ЦП МСП сведений об услугах (мерах поддержки), оказываемых индустриальным (промышленным) парком, агропромышленном парком, технопарком, промышленным технопарком, бизнес-парком на ЦП МСП;</w:t>
      </w:r>
    </w:p>
    <w:p>
      <w:pPr>
        <w:pStyle w:val="0"/>
        <w:spacing w:before="200" w:lineRule="auto"/>
        <w:ind w:firstLine="540"/>
        <w:jc w:val="both"/>
      </w:pPr>
      <w:r>
        <w:rPr>
          <w:sz w:val="20"/>
        </w:rPr>
        <w:t xml:space="preserve">г) публикацию и актуализацию на ЦП МСП сведений о свободных площадях для размещения резидентов (потенциальных резидентов);</w:t>
      </w:r>
    </w:p>
    <w:p>
      <w:pPr>
        <w:pStyle w:val="0"/>
        <w:spacing w:before="200" w:lineRule="auto"/>
        <w:ind w:firstLine="540"/>
        <w:jc w:val="both"/>
      </w:pPr>
      <w:r>
        <w:rPr>
          <w:sz w:val="20"/>
        </w:rPr>
        <w:t xml:space="preserve">д) оказание услуг и мер поддержки в соответствии с функционалом ЦП МСП в случае подачи заявки с использованием ЦП МСП;</w:t>
      </w:r>
    </w:p>
    <w:p>
      <w:pPr>
        <w:pStyle w:val="0"/>
        <w:spacing w:before="200" w:lineRule="auto"/>
        <w:ind w:firstLine="540"/>
        <w:jc w:val="both"/>
      </w:pPr>
      <w:r>
        <w:rPr>
          <w:sz w:val="20"/>
        </w:rPr>
        <w:t xml:space="preserve">е) внесение и актуализацию сведений об оказанных индустриальным (промышленным) парком, агропромышленном парком, технопарком, промышленным технопарком, бизнес-парком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 и (или) предоставление центру "Мой бизнес" сведений о субъектах МСП - получателях поддержки для внесения в реестр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 (в случае отсутствия возможности у управляющей компании индустриального (промышленного) парка, агропромышленного парка, технопарка, промышленного технопарка, бизнес-парка вносить указанные сведения на ЦП МСП);</w:t>
      </w:r>
    </w:p>
    <w:p>
      <w:pPr>
        <w:pStyle w:val="0"/>
        <w:spacing w:before="200" w:lineRule="auto"/>
        <w:ind w:firstLine="540"/>
        <w:jc w:val="both"/>
      </w:pPr>
      <w:r>
        <w:rPr>
          <w:sz w:val="20"/>
        </w:rPr>
        <w:t xml:space="preserve">ж)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индустриального (промышленного) парка, агропромышленного парка, технопарка, промышленного технопарка, бизнес-парка в многофункциональных центрах для бизнеса;</w:t>
      </w:r>
    </w:p>
    <w:p>
      <w:pPr>
        <w:pStyle w:val="0"/>
        <w:spacing w:before="200" w:lineRule="auto"/>
        <w:ind w:firstLine="540"/>
        <w:jc w:val="both"/>
      </w:pPr>
      <w:r>
        <w:rPr>
          <w:sz w:val="20"/>
        </w:rPr>
        <w:t xml:space="preserve">з) предоставление информации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и) заключение соглашения с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включающего показатели по доле внебюджетного (частного) софинансирования в общей стоимости проекта, проценту заполнения площадей резидентами индустриального (промышленного) парка, агропромышленного парка, технопарка, промышленного технопарка, бизнес-парка на 1 января каждого года реализации федерального проекта, количеству созданных рабочих мест резидентами, результатам федерального проекта и иные показатели, календарный график выполнения работ и график их финансирования.</w:t>
      </w:r>
    </w:p>
    <w:p>
      <w:pPr>
        <w:pStyle w:val="0"/>
        <w:spacing w:before="200" w:lineRule="auto"/>
        <w:ind w:firstLine="540"/>
        <w:jc w:val="both"/>
      </w:pPr>
      <w:r>
        <w:rPr>
          <w:sz w:val="20"/>
        </w:rPr>
        <w:t xml:space="preserve">4.8.4.1. График финансирования работ должен предусматривать:</w:t>
      </w:r>
    </w:p>
    <w:p>
      <w:pPr>
        <w:pStyle w:val="0"/>
        <w:spacing w:before="200" w:lineRule="auto"/>
        <w:ind w:firstLine="540"/>
        <w:jc w:val="both"/>
      </w:pPr>
      <w:r>
        <w:rPr>
          <w:sz w:val="20"/>
        </w:rPr>
        <w:t xml:space="preserve">а)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pPr>
        <w:pStyle w:val="0"/>
        <w:spacing w:before="200" w:lineRule="auto"/>
        <w:ind w:firstLine="540"/>
        <w:jc w:val="both"/>
      </w:pPr>
      <w:r>
        <w:rPr>
          <w:sz w:val="20"/>
        </w:rPr>
        <w:t xml:space="preserve">б) представление основных видов работ проекта в разбивке по месяцам и кварталам года осуществления проекта, источникам финансирования;</w:t>
      </w:r>
    </w:p>
    <w:p>
      <w:pPr>
        <w:pStyle w:val="0"/>
        <w:spacing w:before="200" w:lineRule="auto"/>
        <w:ind w:firstLine="540"/>
        <w:jc w:val="both"/>
      </w:pPr>
      <w:r>
        <w:rPr>
          <w:sz w:val="20"/>
        </w:rPr>
        <w:t xml:space="preserve">в)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предоставлением в Минэкономразвития России соответствующих подтверждающих документов).</w:t>
      </w:r>
    </w:p>
    <w:bookmarkStart w:id="1143" w:name="P1143"/>
    <w:bookmarkEnd w:id="1143"/>
    <w:p>
      <w:pPr>
        <w:pStyle w:val="0"/>
        <w:spacing w:before="200" w:lineRule="auto"/>
        <w:ind w:firstLine="540"/>
        <w:jc w:val="both"/>
      </w:pPr>
      <w:r>
        <w:rPr>
          <w:sz w:val="20"/>
        </w:rPr>
        <w:t xml:space="preserve">4.8.4.2. Управляющая компания индустриального (промышленного) парка, агропромышленного парка, бизнес-парка, технопарка,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МСП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history="0" w:anchor="P2575" w:tooltip="ГРАФИК">
        <w:r>
          <w:rPr>
            <w:sz w:val="20"/>
            <w:color w:val="0000ff"/>
          </w:rPr>
          <w:t xml:space="preserve">приложении N 4</w:t>
        </w:r>
      </w:hyperlink>
      <w:r>
        <w:rPr>
          <w:sz w:val="20"/>
        </w:rPr>
        <w:t xml:space="preserve"> к настоящим Требованиям) и отчет об исполнении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history="0" w:anchor="P2952" w:tooltip="ОТЧЕТ">
        <w:r>
          <w:rPr>
            <w:sz w:val="20"/>
            <w:color w:val="0000ff"/>
          </w:rPr>
          <w:t xml:space="preserve">приложении N 5</w:t>
        </w:r>
      </w:hyperlink>
      <w:r>
        <w:rPr>
          <w:sz w:val="20"/>
        </w:rPr>
        <w:t xml:space="preserve"> к настоящим Требованиям).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Требованиям для реализации субъектами</w:t>
      </w:r>
    </w:p>
    <w:p>
      <w:pPr>
        <w:pStyle w:val="0"/>
        <w:jc w:val="right"/>
      </w:pPr>
      <w:r>
        <w:rPr>
          <w:sz w:val="20"/>
        </w:rPr>
        <w:t xml:space="preserve">Российской Федерации мероприятий</w:t>
      </w:r>
    </w:p>
    <w:p>
      <w:pPr>
        <w:pStyle w:val="0"/>
        <w:jc w:val="right"/>
      </w:pPr>
      <w:r>
        <w:rPr>
          <w:sz w:val="20"/>
        </w:rPr>
        <w:t xml:space="preserve">региональных проектов, обеспечивающих</w:t>
      </w:r>
    </w:p>
    <w:p>
      <w:pPr>
        <w:pStyle w:val="0"/>
        <w:jc w:val="right"/>
      </w:pPr>
      <w:r>
        <w:rPr>
          <w:sz w:val="20"/>
        </w:rPr>
        <w:t xml:space="preserve">достижение целей, показателей</w:t>
      </w:r>
    </w:p>
    <w:p>
      <w:pPr>
        <w:pStyle w:val="0"/>
        <w:jc w:val="right"/>
      </w:pPr>
      <w:r>
        <w:rPr>
          <w:sz w:val="20"/>
        </w:rPr>
        <w:t xml:space="preserve">и результатов федерального проекта "Малое</w:t>
      </w:r>
    </w:p>
    <w:p>
      <w:pPr>
        <w:pStyle w:val="0"/>
        <w:jc w:val="right"/>
      </w:pPr>
      <w:r>
        <w:rPr>
          <w:sz w:val="20"/>
        </w:rPr>
        <w:t xml:space="preserve">и среднее предпринимательство и поддержка</w:t>
      </w:r>
    </w:p>
    <w:p>
      <w:pPr>
        <w:pStyle w:val="0"/>
        <w:jc w:val="right"/>
      </w:pPr>
      <w:r>
        <w:rPr>
          <w:sz w:val="20"/>
        </w:rPr>
        <w:t xml:space="preserve">индивидуальной предпринимательской</w:t>
      </w:r>
    </w:p>
    <w:p>
      <w:pPr>
        <w:pStyle w:val="0"/>
        <w:jc w:val="right"/>
      </w:pPr>
      <w:r>
        <w:rPr>
          <w:sz w:val="20"/>
        </w:rPr>
        <w:t xml:space="preserve">инициативы", входящего в состав</w:t>
      </w:r>
    </w:p>
    <w:p>
      <w:pPr>
        <w:pStyle w:val="0"/>
        <w:jc w:val="right"/>
      </w:pPr>
      <w:r>
        <w:rPr>
          <w:sz w:val="20"/>
        </w:rPr>
        <w:t xml:space="preserve">национального проекта "Эффективная</w:t>
      </w:r>
    </w:p>
    <w:p>
      <w:pPr>
        <w:pStyle w:val="0"/>
        <w:jc w:val="right"/>
      </w:pPr>
      <w:r>
        <w:rPr>
          <w:sz w:val="20"/>
        </w:rPr>
        <w:t xml:space="preserve">и конкурентная экономика",</w:t>
      </w:r>
    </w:p>
    <w:p>
      <w:pPr>
        <w:pStyle w:val="0"/>
        <w:jc w:val="right"/>
      </w:pPr>
      <w:r>
        <w:rPr>
          <w:sz w:val="20"/>
        </w:rPr>
        <w:t xml:space="preserve">предусматривающим основные направления</w:t>
      </w:r>
    </w:p>
    <w:p>
      <w:pPr>
        <w:pStyle w:val="0"/>
        <w:jc w:val="right"/>
      </w:pPr>
      <w:r>
        <w:rPr>
          <w:sz w:val="20"/>
        </w:rPr>
        <w:t xml:space="preserve">расходов при реализации мероприятий,</w:t>
      </w:r>
    </w:p>
    <w:p>
      <w:pPr>
        <w:pStyle w:val="0"/>
        <w:jc w:val="right"/>
      </w:pPr>
      <w:r>
        <w:rPr>
          <w:sz w:val="20"/>
        </w:rPr>
        <w:t xml:space="preserve">ключевые показатели эффективности</w:t>
      </w:r>
    </w:p>
    <w:p>
      <w:pPr>
        <w:pStyle w:val="0"/>
        <w:jc w:val="right"/>
      </w:pPr>
      <w:r>
        <w:rPr>
          <w:sz w:val="20"/>
        </w:rPr>
        <w:t xml:space="preserve">реализации мероприятий, в том числе</w:t>
      </w:r>
    </w:p>
    <w:p>
      <w:pPr>
        <w:pStyle w:val="0"/>
        <w:jc w:val="right"/>
      </w:pPr>
      <w:r>
        <w:rPr>
          <w:sz w:val="20"/>
        </w:rPr>
        <w:t xml:space="preserve">требованиям к организациям, образующим</w:t>
      </w:r>
    </w:p>
    <w:p>
      <w:pPr>
        <w:pStyle w:val="0"/>
        <w:jc w:val="right"/>
      </w:pPr>
      <w:r>
        <w:rPr>
          <w:sz w:val="20"/>
        </w:rPr>
        <w:t xml:space="preserve">инфраструктуру поддержки субъектов малого</w:t>
      </w:r>
    </w:p>
    <w:p>
      <w:pPr>
        <w:pStyle w:val="0"/>
        <w:jc w:val="right"/>
      </w:pPr>
      <w:r>
        <w:rPr>
          <w:sz w:val="20"/>
        </w:rPr>
        <w:t xml:space="preserve">и среднего предпринимательства,</w:t>
      </w:r>
    </w:p>
    <w:p>
      <w:pPr>
        <w:pStyle w:val="0"/>
        <w:jc w:val="right"/>
      </w:pPr>
      <w:r>
        <w:rPr>
          <w:sz w:val="20"/>
        </w:rPr>
        <w:t xml:space="preserve">требованиям к государственным</w:t>
      </w:r>
    </w:p>
    <w:p>
      <w:pPr>
        <w:pStyle w:val="0"/>
        <w:jc w:val="right"/>
      </w:pPr>
      <w:r>
        <w:rPr>
          <w:sz w:val="20"/>
        </w:rPr>
        <w:t xml:space="preserve">(муниципальным) микрофинансовым</w:t>
      </w:r>
    </w:p>
    <w:p>
      <w:pPr>
        <w:pStyle w:val="0"/>
        <w:jc w:val="right"/>
      </w:pPr>
      <w:r>
        <w:rPr>
          <w:sz w:val="20"/>
        </w:rPr>
        <w:t xml:space="preserve">организациям и к их деятельности,</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27 марта 2025 г. N 195</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649"/>
        <w:gridCol w:w="4422"/>
      </w:tblGrid>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center"/>
            </w:pPr>
            <w:r>
              <w:rPr>
                <w:sz w:val="20"/>
              </w:rPr>
              <w:t xml:space="preserve">УТВЕРЖДАЮ</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tcW w:w="4422" w:type="dxa"/>
            <w:tcBorders>
              <w:top w:val="single" w:sz="4"/>
              <w:left w:val="nil"/>
              <w:bottom w:val="nil"/>
              <w:right w:val="nil"/>
            </w:tcBorders>
          </w:tcPr>
          <w:p>
            <w:pPr>
              <w:pStyle w:val="0"/>
              <w:jc w:val="center"/>
            </w:pPr>
            <w:r>
              <w:rPr>
                <w:sz w:val="20"/>
              </w:rPr>
              <w:t xml:space="preserve">(наименование должности руководителя уполномоченного органа субъекта Российской Федерации)</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tcW w:w="4422"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center"/>
            </w:pPr>
            <w:r>
              <w:rPr>
                <w:sz w:val="20"/>
              </w:rPr>
              <w:t xml:space="preserve">"__" ________________________</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center"/>
            </w:pPr>
            <w:r>
              <w:rPr>
                <w:sz w:val="20"/>
              </w:rPr>
              <w:t xml:space="preserve">(дата утверждения)</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right"/>
            </w:pPr>
            <w:r>
              <w:rPr>
                <w:sz w:val="20"/>
              </w:rPr>
              <w:t xml:space="preserve">м. п.</w:t>
            </w:r>
          </w:p>
        </w:tc>
      </w:tr>
    </w:tbl>
    <w:p>
      <w:pPr>
        <w:pStyle w:val="0"/>
        <w:ind w:firstLine="540"/>
        <w:jc w:val="both"/>
      </w:pPr>
      <w:r>
        <w:rPr>
          <w:sz w:val="20"/>
        </w:rPr>
      </w:r>
    </w:p>
    <w:bookmarkStart w:id="1193" w:name="P1193"/>
    <w:bookmarkEnd w:id="1193"/>
    <w:p>
      <w:pPr>
        <w:pStyle w:val="0"/>
        <w:jc w:val="center"/>
      </w:pPr>
      <w:r>
        <w:rPr>
          <w:sz w:val="20"/>
        </w:rPr>
        <w:t xml:space="preserve">Направления</w:t>
      </w:r>
    </w:p>
    <w:p>
      <w:pPr>
        <w:pStyle w:val="0"/>
        <w:jc w:val="center"/>
      </w:pPr>
      <w:r>
        <w:rPr>
          <w:sz w:val="20"/>
        </w:rPr>
        <w:t xml:space="preserve">расходования средств субсидии федерального</w:t>
      </w:r>
    </w:p>
    <w:p>
      <w:pPr>
        <w:pStyle w:val="0"/>
        <w:jc w:val="center"/>
      </w:pPr>
      <w:r>
        <w:rPr>
          <w:sz w:val="20"/>
        </w:rPr>
        <w:t xml:space="preserve">бюджета и бюджета субъекта Российской Федерации</w:t>
      </w:r>
    </w:p>
    <w:p>
      <w:pPr>
        <w:pStyle w:val="0"/>
        <w:jc w:val="center"/>
      </w:pPr>
      <w:r>
        <w:rPr>
          <w:sz w:val="20"/>
        </w:rPr>
        <w:t xml:space="preserve">на финансирование центра "Мой бизнес"</w:t>
      </w:r>
    </w:p>
    <w:p>
      <w:pPr>
        <w:pStyle w:val="0"/>
        <w:jc w:val="center"/>
      </w:pPr>
      <w:r>
        <w:rPr>
          <w:sz w:val="20"/>
        </w:rPr>
        <w:t xml:space="preserve">______________________________________________________</w:t>
      </w:r>
    </w:p>
    <w:p>
      <w:pPr>
        <w:pStyle w:val="0"/>
        <w:jc w:val="center"/>
      </w:pPr>
      <w:r>
        <w:rPr>
          <w:sz w:val="20"/>
        </w:rPr>
        <w:t xml:space="preserve">(наименование субъекта Российской Федерации)</w:t>
      </w:r>
    </w:p>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592"/>
        <w:gridCol w:w="3005"/>
        <w:gridCol w:w="737"/>
        <w:gridCol w:w="1361"/>
        <w:gridCol w:w="1531"/>
        <w:gridCol w:w="1757"/>
      </w:tblGrid>
      <w:tr>
        <w:tc>
          <w:tcPr>
            <w:tcW w:w="624" w:type="dxa"/>
          </w:tcPr>
          <w:p>
            <w:pPr>
              <w:pStyle w:val="0"/>
              <w:jc w:val="center"/>
            </w:pPr>
            <w:r>
              <w:rPr>
                <w:sz w:val="20"/>
              </w:rPr>
              <w:t xml:space="preserve">N п/п</w:t>
            </w:r>
          </w:p>
        </w:tc>
        <w:tc>
          <w:tcPr>
            <w:tcW w:w="4592" w:type="dxa"/>
          </w:tcPr>
          <w:p>
            <w:pPr>
              <w:pStyle w:val="0"/>
              <w:jc w:val="center"/>
            </w:pPr>
            <w:r>
              <w:rPr>
                <w:sz w:val="20"/>
              </w:rPr>
              <w:t xml:space="preserve">Направления расходования средств субсидии</w:t>
            </w:r>
          </w:p>
        </w:tc>
        <w:tc>
          <w:tcPr>
            <w:tcW w:w="3005" w:type="dxa"/>
          </w:tcPr>
          <w:p>
            <w:pPr>
              <w:pStyle w:val="0"/>
              <w:jc w:val="center"/>
            </w:pPr>
            <w:r>
              <w:rPr>
                <w:sz w:val="20"/>
              </w:rPr>
              <w:t xml:space="preserve">Условия и ограничения при расходовании средств федерального и регионального бюджетов</w:t>
            </w:r>
          </w:p>
        </w:tc>
        <w:tc>
          <w:tcPr>
            <w:tcW w:w="737" w:type="dxa"/>
          </w:tcPr>
          <w:p>
            <w:pPr>
              <w:pStyle w:val="0"/>
              <w:jc w:val="center"/>
            </w:pPr>
            <w:r>
              <w:rPr>
                <w:sz w:val="20"/>
              </w:rPr>
              <w:t xml:space="preserve">Всего</w:t>
            </w:r>
          </w:p>
        </w:tc>
        <w:tc>
          <w:tcPr>
            <w:tcW w:w="1361" w:type="dxa"/>
          </w:tcPr>
          <w:p>
            <w:pPr>
              <w:pStyle w:val="0"/>
              <w:jc w:val="center"/>
            </w:pPr>
            <w:r>
              <w:rPr>
                <w:sz w:val="20"/>
              </w:rPr>
              <w:t xml:space="preserve">Бюджет субъекта Российской Федерации</w:t>
            </w:r>
          </w:p>
        </w:tc>
        <w:tc>
          <w:tcPr>
            <w:tcW w:w="1531" w:type="dxa"/>
          </w:tcPr>
          <w:p>
            <w:pPr>
              <w:pStyle w:val="0"/>
              <w:jc w:val="center"/>
            </w:pPr>
            <w:r>
              <w:rPr>
                <w:sz w:val="20"/>
              </w:rPr>
              <w:t xml:space="preserve">Федеральный бюджет</w:t>
            </w:r>
          </w:p>
        </w:tc>
        <w:tc>
          <w:tcPr>
            <w:tcW w:w="1757" w:type="dxa"/>
          </w:tcPr>
          <w:p>
            <w:pPr>
              <w:pStyle w:val="0"/>
              <w:jc w:val="center"/>
            </w:pPr>
            <w:r>
              <w:rPr>
                <w:sz w:val="20"/>
              </w:rPr>
              <w:t xml:space="preserve">Внебюджетные источники</w:t>
            </w:r>
          </w:p>
        </w:tc>
      </w:tr>
      <w:tr>
        <w:tc>
          <w:tcPr>
            <w:tcW w:w="624" w:type="dxa"/>
          </w:tcPr>
          <w:p>
            <w:pPr>
              <w:pStyle w:val="0"/>
              <w:jc w:val="center"/>
            </w:pPr>
            <w:r>
              <w:rPr>
                <w:sz w:val="20"/>
              </w:rPr>
              <w:t xml:space="preserve">1</w:t>
            </w:r>
          </w:p>
        </w:tc>
        <w:tc>
          <w:tcPr>
            <w:tcW w:w="4592" w:type="dxa"/>
          </w:tcPr>
          <w:p>
            <w:pPr>
              <w:pStyle w:val="0"/>
              <w:jc w:val="center"/>
            </w:pPr>
            <w:r>
              <w:rPr>
                <w:sz w:val="20"/>
              </w:rPr>
              <w:t xml:space="preserve">2</w:t>
            </w:r>
          </w:p>
        </w:tc>
        <w:tc>
          <w:tcPr>
            <w:tcW w:w="3005" w:type="dxa"/>
          </w:tcPr>
          <w:p>
            <w:pPr>
              <w:pStyle w:val="0"/>
              <w:jc w:val="center"/>
            </w:pPr>
            <w:r>
              <w:rPr>
                <w:sz w:val="20"/>
              </w:rPr>
              <w:t xml:space="preserve">3</w:t>
            </w:r>
          </w:p>
        </w:tc>
        <w:tc>
          <w:tcPr>
            <w:tcW w:w="737" w:type="dxa"/>
          </w:tcPr>
          <w:p>
            <w:pPr>
              <w:pStyle w:val="0"/>
              <w:jc w:val="center"/>
            </w:pPr>
            <w:r>
              <w:rPr>
                <w:sz w:val="20"/>
              </w:rPr>
              <w:t xml:space="preserve">4</w:t>
            </w:r>
          </w:p>
        </w:tc>
        <w:tc>
          <w:tcPr>
            <w:tcW w:w="1361" w:type="dxa"/>
          </w:tcPr>
          <w:p>
            <w:pPr>
              <w:pStyle w:val="0"/>
              <w:jc w:val="center"/>
            </w:pPr>
            <w:r>
              <w:rPr>
                <w:sz w:val="20"/>
              </w:rPr>
              <w:t xml:space="preserve">5</w:t>
            </w:r>
          </w:p>
        </w:tc>
        <w:tc>
          <w:tcPr>
            <w:tcW w:w="1531" w:type="dxa"/>
          </w:tcPr>
          <w:p>
            <w:pPr>
              <w:pStyle w:val="0"/>
              <w:jc w:val="center"/>
            </w:pPr>
            <w:r>
              <w:rPr>
                <w:sz w:val="20"/>
              </w:rPr>
              <w:t xml:space="preserve">6</w:t>
            </w:r>
          </w:p>
        </w:tc>
        <w:tc>
          <w:tcPr>
            <w:tcW w:w="1757" w:type="dxa"/>
          </w:tcPr>
          <w:p>
            <w:pPr>
              <w:pStyle w:val="0"/>
              <w:jc w:val="center"/>
            </w:pPr>
            <w:r>
              <w:rPr>
                <w:sz w:val="20"/>
              </w:rPr>
              <w:t xml:space="preserve">7</w:t>
            </w:r>
          </w:p>
        </w:tc>
      </w:tr>
      <w:tr>
        <w:tc>
          <w:tcPr>
            <w:gridSpan w:val="7"/>
            <w:tcW w:w="13607" w:type="dxa"/>
          </w:tcPr>
          <w:p>
            <w:pPr>
              <w:pStyle w:val="0"/>
              <w:outlineLvl w:val="2"/>
              <w:jc w:val="center"/>
            </w:pPr>
            <w:r>
              <w:rPr>
                <w:sz w:val="20"/>
              </w:rPr>
              <w:t xml:space="preserve">Общие расходы центра "Мой бизнес"</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Фонд оплаты труда, в том числе:</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1.1</w:t>
            </w:r>
          </w:p>
        </w:tc>
        <w:tc>
          <w:tcPr>
            <w:tcW w:w="4592" w:type="dxa"/>
          </w:tcPr>
          <w:p>
            <w:pPr>
              <w:pStyle w:val="0"/>
            </w:pPr>
            <w:r>
              <w:rPr>
                <w:sz w:val="20"/>
              </w:rPr>
              <w:t xml:space="preserve">Премиальный фонд</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1.2</w:t>
            </w:r>
          </w:p>
        </w:tc>
        <w:tc>
          <w:tcPr>
            <w:tcW w:w="4592" w:type="dxa"/>
          </w:tcPr>
          <w:p>
            <w:pPr>
              <w:pStyle w:val="0"/>
            </w:pPr>
            <w:r>
              <w:rPr>
                <w:sz w:val="20"/>
              </w:rPr>
              <w:t xml:space="preserve">Начисления на оплату труда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1.3</w:t>
            </w:r>
          </w:p>
        </w:tc>
        <w:tc>
          <w:tcPr>
            <w:tcW w:w="4592" w:type="dxa"/>
          </w:tcPr>
          <w:p>
            <w:pPr>
              <w:pStyle w:val="0"/>
            </w:pPr>
            <w:r>
              <w:rPr>
                <w:sz w:val="20"/>
              </w:rPr>
              <w:t xml:space="preserve">Заработная плата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основных средств для обеспечения деятельности центра "Мой бизнес"</w:t>
            </w:r>
          </w:p>
        </w:tc>
        <w:tc>
          <w:tcPr>
            <w:tcW w:w="3005" w:type="dxa"/>
            <w:vMerge w:val="restart"/>
          </w:tcPr>
          <w:p>
            <w:pPr>
              <w:pStyle w:val="0"/>
              <w:jc w:val="center"/>
            </w:pPr>
            <w:r>
              <w:rPr>
                <w:sz w:val="20"/>
              </w:rPr>
              <w:t xml:space="preserve">Средства регионального и федерального бюджетов в рамках федерального проекта "Малое и среднее предпринимательство и поддержка индивидуальной предпринимательской инициативы" (далее - федеральный проект) в размере, не превышающем 30% от суммы средств федерального бюджета и регионального бюджетов, запланированных на финансирование центра "Мой бизнес" (только для вновь созданных структурных подразделений, филиалов или представительств центра "Мой бизнес" или при условии расширения штата сотрудников)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2.1</w:t>
            </w:r>
          </w:p>
        </w:tc>
        <w:tc>
          <w:tcPr>
            <w:tcW w:w="4592" w:type="dxa"/>
          </w:tcPr>
          <w:p>
            <w:pPr>
              <w:pStyle w:val="0"/>
            </w:pPr>
            <w:r>
              <w:rPr>
                <w:sz w:val="20"/>
              </w:rPr>
              <w:t xml:space="preserve">Приобретение основных средств (оборудование, программное обеспечение) для оборудования рабочих мест организаций, образующих инфраструктуру малого и среднего предпринимательства (далее - МСП)</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2.2</w:t>
            </w:r>
          </w:p>
        </w:tc>
        <w:tc>
          <w:tcPr>
            <w:tcW w:w="4592" w:type="dxa"/>
          </w:tcPr>
          <w:p>
            <w:pPr>
              <w:pStyle w:val="0"/>
            </w:pPr>
            <w:r>
              <w:rPr>
                <w:sz w:val="20"/>
              </w:rPr>
              <w:t xml:space="preserve">Приобретение основных средств для помещений коллективного доступа</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2.3</w:t>
            </w:r>
          </w:p>
        </w:tc>
        <w:tc>
          <w:tcPr>
            <w:tcW w:w="4592" w:type="dxa"/>
          </w:tcPr>
          <w:p>
            <w:pPr>
              <w:pStyle w:val="0"/>
            </w:pPr>
            <w:r>
              <w:rPr>
                <w:sz w:val="20"/>
              </w:rPr>
              <w:t xml:space="preserve">Приобретение иных основных средств для обеспечения деятельности центра "Мой бизнес"</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2.4</w:t>
            </w:r>
          </w:p>
        </w:tc>
        <w:tc>
          <w:tcPr>
            <w:tcW w:w="4592" w:type="dxa"/>
          </w:tcPr>
          <w:p>
            <w:pPr>
              <w:pStyle w:val="0"/>
            </w:pPr>
            <w:r>
              <w:rPr>
                <w:sz w:val="20"/>
              </w:rPr>
              <w:t xml:space="preserve">Иные расходы (монтажные и пусконаладочные работы)</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Доработка и (или) настройка автоматизированной информационной системы, включая интеграцию с цифровой платформой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 (далее - ЦП МСП), центра телефонного обслуживания для организации предоставления услуг субъектам МСП и гражданам, планирующим начать предпринимательскую деятельность</w:t>
            </w:r>
          </w:p>
        </w:tc>
        <w:tc>
          <w:tcPr>
            <w:tcW w:w="3005" w:type="dxa"/>
          </w:tcPr>
          <w:p>
            <w:pPr>
              <w:pStyle w:val="0"/>
              <w:jc w:val="center"/>
            </w:pPr>
            <w:r>
              <w:rPr>
                <w:sz w:val="20"/>
              </w:rPr>
              <w:t xml:space="preserve">Не более 500 тыс. рублей</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Создание, доработка и (или) настройка сайта центра "Мой бизнес" в информационно-телекоммуникационной сети "Интернет" (далее - сеть "Интернет")</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Внедрение фирменного стиля "Мой бизнес", в том числе изготовление полиграфической продукции, предназначенной для информирования субъектов МСП и граждан, планирующих начать предпринимательскую деятельность, об услугах и мерах поддержки, предоставляемых в центре "Мой бизнес", в средствах массовой информации; изготовление и установка средств навигации, табличек и вывесок, обеспечение сотрудников форменной одеждой и другое</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Приобретение расходных материалов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bookmarkStart w:id="1302" w:name="P1302"/>
          <w:bookmarkEnd w:id="1302"/>
          <w:p>
            <w:pPr>
              <w:pStyle w:val="0"/>
              <w:jc w:val="center"/>
            </w:pPr>
            <w:r>
              <w:rPr>
                <w:sz w:val="20"/>
              </w:rPr>
              <w:t xml:space="preserve">7</w:t>
            </w:r>
          </w:p>
        </w:tc>
        <w:tc>
          <w:tcPr>
            <w:tcW w:w="4592" w:type="dxa"/>
            <w:vAlign w:val="center"/>
          </w:tcPr>
          <w:p>
            <w:pPr>
              <w:pStyle w:val="0"/>
            </w:pPr>
            <w:r>
              <w:rPr>
                <w:sz w:val="20"/>
              </w:rPr>
              <w:t xml:space="preserve">Командировки</w:t>
            </w:r>
          </w:p>
        </w:tc>
        <w:tc>
          <w:tcPr>
            <w:tcW w:w="3005" w:type="dxa"/>
          </w:tcPr>
          <w:p>
            <w:pPr>
              <w:pStyle w:val="0"/>
              <w:jc w:val="center"/>
            </w:pPr>
            <w:r>
              <w:rPr>
                <w:sz w:val="20"/>
              </w:rPr>
              <w:t xml:space="preserve">За счет средств федерального бюджета не более 10% от суммы средств федерального и регионального бюджетов в рамках федерального проекта, запланированных на финансирование центра "Мой бизнес"</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8</w:t>
            </w:r>
          </w:p>
        </w:tc>
        <w:tc>
          <w:tcPr>
            <w:tcW w:w="4592" w:type="dxa"/>
          </w:tcPr>
          <w:p>
            <w:pPr>
              <w:pStyle w:val="0"/>
            </w:pPr>
            <w:r>
              <w:rPr>
                <w:sz w:val="20"/>
              </w:rPr>
              <w:t xml:space="preserve">Услуги связи (за исключением мобильной связи)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9</w:t>
            </w:r>
          </w:p>
        </w:tc>
        <w:tc>
          <w:tcPr>
            <w:tcW w:w="4592" w:type="dxa"/>
          </w:tcPr>
          <w:p>
            <w:pPr>
              <w:pStyle w:val="0"/>
            </w:pPr>
            <w:r>
              <w:rPr>
                <w:sz w:val="20"/>
              </w:rPr>
              <w:t xml:space="preserve">Коммунальные услуги, включая аренду помещений</w:t>
            </w:r>
          </w:p>
        </w:tc>
        <w:tc>
          <w:tcPr>
            <w:tcW w:w="3005" w:type="dxa"/>
          </w:tcPr>
          <w:p>
            <w:pPr>
              <w:pStyle w:val="0"/>
              <w:jc w:val="center"/>
            </w:pPr>
            <w:r>
              <w:rPr>
                <w:sz w:val="20"/>
              </w:rPr>
              <w:t xml:space="preserve">На коммунальные услуги за счет средств федерального бюджета не более 1% от суммы средств федерального и регионального бюджетов в рамках федерального проекта, запланированных на финансирование центра "Мой бизнес"</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10</w:t>
            </w:r>
          </w:p>
        </w:tc>
        <w:tc>
          <w:tcPr>
            <w:tcW w:w="4592" w:type="dxa"/>
          </w:tcPr>
          <w:p>
            <w:pPr>
              <w:pStyle w:val="0"/>
            </w:pPr>
            <w:r>
              <w:rPr>
                <w:sz w:val="20"/>
              </w:rPr>
              <w:t xml:space="preserve">Прочие текущие расходы</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11</w:t>
            </w:r>
          </w:p>
        </w:tc>
        <w:tc>
          <w:tcPr>
            <w:tcW w:w="4592" w:type="dxa"/>
          </w:tcPr>
          <w:p>
            <w:pPr>
              <w:pStyle w:val="0"/>
            </w:pPr>
            <w:r>
              <w:rPr>
                <w:sz w:val="20"/>
              </w:rPr>
              <w:t xml:space="preserve">Продвижение информации о деятельности центра "Мой бизнес" в средствах массовой информации, включая телевидение, радио, печать, наружную рекламу,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12</w:t>
            </w:r>
          </w:p>
        </w:tc>
        <w:tc>
          <w:tcPr>
            <w:tcW w:w="4592" w:type="dxa"/>
          </w:tcPr>
          <w:p>
            <w:pPr>
              <w:pStyle w:val="0"/>
              <w:jc w:val="both"/>
            </w:pPr>
            <w:r>
              <w:rPr>
                <w:sz w:val="20"/>
              </w:rPr>
              <w:t xml:space="preserve">Организация прохождения обучения сотрудников инфраструктуры</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поддержки предпринимательства</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Консультационные услуги, в том числе с привлечением сторонних профильных экспертов</w:t>
            </w:r>
          </w:p>
        </w:tc>
        <w:tc>
          <w:tcPr>
            <w:tcW w:w="3005" w:type="dxa"/>
          </w:tcPr>
          <w:p>
            <w:pPr>
              <w:pStyle w:val="0"/>
              <w:jc w:val="center"/>
            </w:pPr>
            <w:r>
              <w:rPr>
                <w:sz w:val="20"/>
              </w:rPr>
              <w:t xml:space="preserve">Не более 4 тыс. рублей на 1 консультацию 1 субъекта МСП или физического лица</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Содействие в популяризации продукции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Проведение патентных исследований для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Содействие в размещении субъекта МСП на электронных торговых площадках</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Предоставление субъектам МСП на льготных условиях рабочих мест в частных коворкингах</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w:t>
            </w:r>
          </w:p>
        </w:tc>
        <w:tc>
          <w:tcPr>
            <w:tcW w:w="4592" w:type="dxa"/>
          </w:tcPr>
          <w:p>
            <w:pPr>
              <w:pStyle w:val="0"/>
            </w:pPr>
            <w:r>
              <w:rPr>
                <w:sz w:val="20"/>
              </w:rPr>
              <w:t xml:space="preserve">Расходы на проведение обучающих мероприятий:</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7.1</w:t>
            </w:r>
          </w:p>
        </w:tc>
        <w:tc>
          <w:tcPr>
            <w:tcW w:w="4592" w:type="dxa"/>
          </w:tcPr>
          <w:p>
            <w:pPr>
              <w:pStyle w:val="0"/>
            </w:pPr>
            <w:r>
              <w:rPr>
                <w:sz w:val="20"/>
              </w:rPr>
              <w:t xml:space="preserve">Проведение обучающих программ для субъектов МСП и физических лиц, планирующих начать предпринимательскую деятельность</w:t>
            </w:r>
          </w:p>
        </w:tc>
        <w:tc>
          <w:tcPr>
            <w:tcW w:w="3005" w:type="dxa"/>
          </w:tcPr>
          <w:p>
            <w:pPr>
              <w:pStyle w:val="0"/>
              <w:jc w:val="center"/>
            </w:pPr>
            <w:r>
              <w:rPr>
                <w:sz w:val="20"/>
              </w:rPr>
              <w:t xml:space="preserve">Организация и проведение обучения (от 16 до 48 академических часов) физических лиц, планирующих начать предпринимательскую деятельность, субъектов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7.2</w:t>
            </w:r>
          </w:p>
        </w:tc>
        <w:tc>
          <w:tcPr>
            <w:tcW w:w="4592" w:type="dxa"/>
          </w:tcPr>
          <w:p>
            <w:pPr>
              <w:pStyle w:val="0"/>
            </w:pPr>
            <w:r>
              <w:rPr>
                <w:sz w:val="20"/>
              </w:rPr>
              <w:t xml:space="preserve">Проведение обучающих мероприятий, направленных на повышение квалификации сотрудников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7.3</w:t>
            </w:r>
          </w:p>
        </w:tc>
        <w:tc>
          <w:tcPr>
            <w:tcW w:w="4592" w:type="dxa"/>
          </w:tcPr>
          <w:p>
            <w:pPr>
              <w:pStyle w:val="0"/>
            </w:pPr>
            <w:r>
              <w:rPr>
                <w:sz w:val="20"/>
              </w:rPr>
              <w:t xml:space="preserve">Проведение семинаров, круглых столов, вебинаров</w:t>
            </w:r>
          </w:p>
        </w:tc>
        <w:tc>
          <w:tcPr>
            <w:tcW w:w="3005" w:type="dxa"/>
          </w:tcPr>
          <w:p>
            <w:pPr>
              <w:pStyle w:val="0"/>
              <w:jc w:val="center"/>
            </w:pPr>
            <w:r>
              <w:rPr>
                <w:sz w:val="20"/>
              </w:rPr>
              <w:t xml:space="preserve">За счет средств федерального бюджета: на 1 семинар - не более 100 тыс. рублей, на 1 вебинар - не более 50 тыс. рублей, на 1 круглый стол или бизнес-игру - не более 300 тыс. рублей. При этом затраты на 1 субъекта МСП или физического лица в рамках одного мероприятия не превышают 30 тыс. рублей.</w:t>
            </w:r>
          </w:p>
          <w:p>
            <w:pPr>
              <w:pStyle w:val="0"/>
              <w:jc w:val="center"/>
            </w:pPr>
            <w:r>
              <w:rPr>
                <w:sz w:val="20"/>
              </w:rPr>
              <w:t xml:space="preserve">Не более 2 одинаковых мероприятий</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7.4</w:t>
            </w:r>
          </w:p>
        </w:tc>
        <w:tc>
          <w:tcPr>
            <w:tcW w:w="4592" w:type="dxa"/>
            <w:vAlign w:val="center"/>
          </w:tcPr>
          <w:p>
            <w:pPr>
              <w:pStyle w:val="0"/>
            </w:pPr>
            <w:r>
              <w:rPr>
                <w:sz w:val="20"/>
              </w:rPr>
              <w:t xml:space="preserve">Проведение мастер-классов, тренингов, бизнес-игр</w:t>
            </w:r>
          </w:p>
        </w:tc>
        <w:tc>
          <w:tcPr>
            <w:tcW w:w="3005" w:type="dxa"/>
          </w:tcPr>
          <w:p>
            <w:pPr>
              <w:pStyle w:val="0"/>
              <w:jc w:val="center"/>
            </w:pPr>
            <w:r>
              <w:rPr>
                <w:sz w:val="20"/>
              </w:rPr>
              <w:t xml:space="preserve">За счет средств федерального бюджета - на 1 мастер-класс, тренинг, бизнес-игру не более 300 тыс. рублей.</w:t>
            </w:r>
          </w:p>
          <w:p>
            <w:pPr>
              <w:pStyle w:val="0"/>
              <w:jc w:val="center"/>
            </w:pPr>
            <w:r>
              <w:rPr>
                <w:sz w:val="20"/>
              </w:rPr>
              <w:t xml:space="preserve">Не более 2 одинаковых мероприятий</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8</w:t>
            </w:r>
          </w:p>
        </w:tc>
        <w:tc>
          <w:tcPr>
            <w:tcW w:w="4592" w:type="dxa"/>
            <w:vAlign w:val="center"/>
          </w:tcPr>
          <w:p>
            <w:pPr>
              <w:pStyle w:val="0"/>
            </w:pPr>
            <w:r>
              <w:rPr>
                <w:sz w:val="20"/>
              </w:rPr>
              <w:t xml:space="preserve">Организация и проведение конференций, форумов</w:t>
            </w:r>
          </w:p>
        </w:tc>
        <w:tc>
          <w:tcPr>
            <w:tcW w:w="3005" w:type="dxa"/>
          </w:tcPr>
          <w:p>
            <w:pPr>
              <w:pStyle w:val="0"/>
              <w:jc w:val="center"/>
            </w:pPr>
            <w:r>
              <w:rPr>
                <w:sz w:val="20"/>
              </w:rPr>
              <w:t xml:space="preserve">За счет средств федерального бюджета - на 1 конференцию не более 500 тыс. рублей, на 1 форум не более 2 млн. рублей. Не более 4 мероприятий в год. Не менее 30 участников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9</w:t>
            </w:r>
          </w:p>
        </w:tc>
        <w:tc>
          <w:tcPr>
            <w:tcW w:w="4592" w:type="dxa"/>
          </w:tcPr>
          <w:p>
            <w:pPr>
              <w:pStyle w:val="0"/>
            </w:pPr>
            <w:r>
              <w:rPr>
                <w:sz w:val="20"/>
              </w:rPr>
              <w:t xml:space="preserve">Организация и проведение бизнес-миссий</w:t>
            </w:r>
          </w:p>
        </w:tc>
        <w:tc>
          <w:tcPr>
            <w:tcW w:w="3005" w:type="dxa"/>
          </w:tcPr>
          <w:p>
            <w:pPr>
              <w:pStyle w:val="0"/>
              <w:jc w:val="center"/>
            </w:pPr>
            <w:r>
              <w:rPr>
                <w:sz w:val="20"/>
              </w:rPr>
              <w:t xml:space="preserve">На 1 бизнес-миссию не более 500 тыс. рублей при участии не менее 3 субъектов МСП. 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10</w:t>
            </w:r>
          </w:p>
        </w:tc>
        <w:tc>
          <w:tcPr>
            <w:tcW w:w="4592" w:type="dxa"/>
          </w:tcPr>
          <w:p>
            <w:pPr>
              <w:pStyle w:val="0"/>
            </w:pPr>
            <w:r>
              <w:rPr>
                <w:sz w:val="20"/>
              </w:rPr>
              <w:t xml:space="preserve">Организация участия субъектов МСП в выставочно-ярмарочном мероприятии на территории Российской Федерации</w:t>
            </w:r>
          </w:p>
        </w:tc>
        <w:tc>
          <w:tcPr>
            <w:tcW w:w="3005" w:type="dxa"/>
          </w:tcPr>
          <w:p>
            <w:pPr>
              <w:pStyle w:val="0"/>
              <w:jc w:val="center"/>
            </w:pPr>
            <w:r>
              <w:rPr>
                <w:sz w:val="20"/>
              </w:rPr>
              <w:t xml:space="preserve">Не более 600 тыс. рублей на индивидуальный стенд, не более 3 млн. рублей на коллективный стенд (не менее 3 участников субъектов МСП). при условии софинансирования со стороны субъекта МСП не менее 10%</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11</w:t>
            </w:r>
          </w:p>
        </w:tc>
        <w:tc>
          <w:tcPr>
            <w:tcW w:w="4592" w:type="dxa"/>
          </w:tcPr>
          <w:p>
            <w:pPr>
              <w:pStyle w:val="0"/>
            </w:pPr>
            <w:r>
              <w:rPr>
                <w:sz w:val="20"/>
              </w:rPr>
              <w:t xml:space="preserve">Участия в межрегиональных, общероссийских и международных мероприятиях, направленных на поддержку и развитие предпринимательства</w:t>
            </w:r>
          </w:p>
        </w:tc>
        <w:tc>
          <w:tcPr>
            <w:tcW w:w="3005" w:type="dxa"/>
          </w:tcPr>
          <w:p>
            <w:pPr>
              <w:pStyle w:val="0"/>
              <w:jc w:val="center"/>
            </w:pPr>
            <w:r>
              <w:rPr>
                <w:sz w:val="20"/>
              </w:rPr>
              <w:t xml:space="preserve">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12</w:t>
            </w:r>
          </w:p>
        </w:tc>
        <w:tc>
          <w:tcPr>
            <w:tcW w:w="4592" w:type="dxa"/>
          </w:tcPr>
          <w:p>
            <w:pPr>
              <w:pStyle w:val="0"/>
            </w:pPr>
            <w:r>
              <w:rPr>
                <w:sz w:val="20"/>
              </w:rPr>
              <w:t xml:space="preserve">Организация программ по наставничеству для начинающих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13</w:t>
            </w:r>
          </w:p>
        </w:tc>
        <w:tc>
          <w:tcPr>
            <w:tcW w:w="4592" w:type="dxa"/>
          </w:tcPr>
          <w:p>
            <w:pPr>
              <w:pStyle w:val="0"/>
            </w:pPr>
            <w:r>
              <w:rPr>
                <w:sz w:val="20"/>
              </w:rPr>
              <w:t xml:space="preserve">Иные услуги и мероприятия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14</w:t>
            </w:r>
          </w:p>
        </w:tc>
        <w:tc>
          <w:tcPr>
            <w:tcW w:w="4592" w:type="dxa"/>
            <w:vAlign w:val="center"/>
          </w:tcPr>
          <w:p>
            <w:pPr>
              <w:pStyle w:val="0"/>
            </w:pPr>
            <w:r>
              <w:rPr>
                <w:sz w:val="20"/>
              </w:rPr>
              <w:t xml:space="preserve">Проведение региональных этапов всероссийских и международных мероприятий (конкурсов, премий и другое)</w:t>
            </w:r>
          </w:p>
        </w:tc>
        <w:tc>
          <w:tcPr>
            <w:tcW w:w="3005" w:type="dxa"/>
          </w:tcPr>
          <w:p>
            <w:pPr>
              <w:pStyle w:val="0"/>
              <w:jc w:val="center"/>
            </w:pPr>
            <w:r>
              <w:rPr>
                <w:sz w:val="20"/>
              </w:rPr>
              <w:t xml:space="preserve">Не более 2 млн. рублей при условии участия не менее 20 участников.</w:t>
            </w:r>
          </w:p>
          <w:p>
            <w:pPr>
              <w:pStyle w:val="0"/>
              <w:jc w:val="center"/>
            </w:pPr>
            <w:r>
              <w:rPr>
                <w:sz w:val="20"/>
              </w:rPr>
              <w:t xml:space="preserve">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15</w:t>
            </w:r>
          </w:p>
        </w:tc>
        <w:tc>
          <w:tcPr>
            <w:tcW w:w="4592" w:type="dxa"/>
          </w:tcPr>
          <w:p>
            <w:pPr>
              <w:pStyle w:val="0"/>
            </w:pPr>
            <w:r>
              <w:rPr>
                <w:sz w:val="20"/>
              </w:rPr>
              <w:t xml:space="preserve">Сертификация или инспекция центра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16</w:t>
            </w:r>
          </w:p>
        </w:tc>
        <w:tc>
          <w:tcPr>
            <w:tcW w:w="4592" w:type="dxa"/>
          </w:tcPr>
          <w:p>
            <w:pPr>
              <w:pStyle w:val="0"/>
            </w:pPr>
            <w:r>
              <w:rPr>
                <w:sz w:val="20"/>
              </w:rPr>
              <w:t xml:space="preserve">Организация прохождения бизнес-инкубатором ежегодной оценки эффективности и обучение сотрудников бизнес-инкубатора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 Центра поддержки предпринимательства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инноваций социальной сферы</w:t>
            </w:r>
          </w:p>
        </w:tc>
      </w:tr>
      <w:tr>
        <w:tc>
          <w:tcPr>
            <w:tcW w:w="624" w:type="dxa"/>
            <w:vAlign w:val="center"/>
          </w:tcPr>
          <w:p>
            <w:pPr>
              <w:pStyle w:val="0"/>
              <w:jc w:val="center"/>
            </w:pPr>
            <w:r>
              <w:rPr>
                <w:sz w:val="20"/>
              </w:rPr>
              <w:t xml:space="preserve">1</w:t>
            </w:r>
          </w:p>
        </w:tc>
        <w:tc>
          <w:tcPr>
            <w:tcW w:w="4592" w:type="dxa"/>
            <w:vAlign w:val="center"/>
          </w:tcPr>
          <w:p>
            <w:pPr>
              <w:pStyle w:val="0"/>
            </w:pPr>
            <w:r>
              <w:rPr>
                <w:sz w:val="20"/>
              </w:rPr>
              <w:t xml:space="preserve">Консультационные услуги с привлечением сторонних профильных экспертов</w:t>
            </w:r>
          </w:p>
        </w:tc>
        <w:tc>
          <w:tcPr>
            <w:tcW w:w="3005" w:type="dxa"/>
          </w:tcPr>
          <w:p>
            <w:pPr>
              <w:pStyle w:val="0"/>
              <w:jc w:val="center"/>
            </w:pPr>
            <w:r>
              <w:rPr>
                <w:sz w:val="20"/>
              </w:rPr>
              <w:t xml:space="preserve">Не более 4 тыс. рублей на 1 консультацию 1 субъекта МСП или физического лица</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Продвижение информации о деятельности центра инноваций социальной сферы</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Проведение мероприятий по сбору, обобщению и распространению информации о социальных проектах и инвестиционных потребностях субъектов МСП, осуществляющих деятельность в области социального предпринимательства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Проведение обучающих и просветительских мероприятий по вопросам осуществления деятельности в области социального предпринимательства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4.1</w:t>
            </w:r>
          </w:p>
        </w:tc>
        <w:tc>
          <w:tcPr>
            <w:tcW w:w="4592" w:type="dxa"/>
          </w:tcPr>
          <w:p>
            <w:pPr>
              <w:pStyle w:val="0"/>
            </w:pPr>
            <w:r>
              <w:rPr>
                <w:sz w:val="20"/>
              </w:rPr>
              <w:t xml:space="preserve">Проведение полноформатных и акселерационных программ</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4.2</w:t>
            </w:r>
          </w:p>
        </w:tc>
        <w:tc>
          <w:tcPr>
            <w:tcW w:w="4592" w:type="dxa"/>
          </w:tcPr>
          <w:p>
            <w:pPr>
              <w:pStyle w:val="0"/>
            </w:pPr>
            <w:r>
              <w:rPr>
                <w:sz w:val="20"/>
              </w:rPr>
              <w:t xml:space="preserve">Проведение обучающих семинаров, мастер-классов, тренингов, деловых игр и круглых столов</w:t>
            </w:r>
          </w:p>
        </w:tc>
        <w:tc>
          <w:tcPr>
            <w:tcW w:w="3005" w:type="dxa"/>
          </w:tcPr>
          <w:p>
            <w:pPr>
              <w:pStyle w:val="0"/>
              <w:jc w:val="center"/>
            </w:pPr>
            <w:r>
              <w:rPr>
                <w:sz w:val="20"/>
              </w:rPr>
              <w:t xml:space="preserve">Не более 100 тыс. рублей на 1 семинар, круглый стол, деловую игру, не более 200 тыс. рублей на 1 мастер-класс или тренинг.</w:t>
            </w:r>
          </w:p>
          <w:p>
            <w:pPr>
              <w:pStyle w:val="0"/>
              <w:jc w:val="center"/>
            </w:pPr>
            <w:r>
              <w:rPr>
                <w:sz w:val="20"/>
              </w:rPr>
              <w:t xml:space="preserve">Не более 2 одинаковых мероприятий в год</w:t>
            </w:r>
          </w:p>
        </w:tc>
        <w:tc>
          <w:tcPr>
            <w:tcW w:w="737" w:type="dxa"/>
          </w:tcPr>
          <w:p>
            <w:pPr>
              <w:pStyle w:val="0"/>
            </w:pPr>
            <w:r>
              <w:rPr>
                <w:sz w:val="20"/>
              </w:rPr>
            </w:r>
          </w:p>
        </w:tc>
        <w:tc>
          <w:tcPr>
            <w:tcW w:w="1361" w:type="dxa"/>
          </w:tcPr>
          <w:p>
            <w:pPr>
              <w:pStyle w:val="0"/>
              <w:jc w:val="center"/>
            </w:pPr>
            <w:r>
              <w:rPr>
                <w:sz w:val="20"/>
              </w:rPr>
              <w:t xml:space="preserve">X</w:t>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vAlign w:val="center"/>
          </w:tcPr>
          <w:p>
            <w:pPr>
              <w:pStyle w:val="0"/>
            </w:pPr>
            <w:r>
              <w:rPr>
                <w:sz w:val="20"/>
              </w:rPr>
              <w:t xml:space="preserve">Организация участия социальных предпринимателей в выставочно-ярмарочных и конгрессных мероприятиях с социальной тематикой на территории Российской Федерации с целью продвижения их товаров (работ, услуг)</w:t>
            </w:r>
          </w:p>
        </w:tc>
        <w:tc>
          <w:tcPr>
            <w:tcW w:w="3005" w:type="dxa"/>
          </w:tcPr>
          <w:p>
            <w:pPr>
              <w:pStyle w:val="0"/>
              <w:jc w:val="center"/>
            </w:pPr>
            <w:r>
              <w:rPr>
                <w:sz w:val="20"/>
              </w:rPr>
              <w:t xml:space="preserve">Не более 700 тыс. рублей на индивидуальный стенд, не более 3 млн. рублей на коллективный стенд (не менее 3 участников субъектов МСП). При условии софинансирования со стороны субъекта МСП не менее 10%</w:t>
            </w:r>
          </w:p>
        </w:tc>
        <w:tc>
          <w:tcPr>
            <w:tcW w:w="737" w:type="dxa"/>
          </w:tcPr>
          <w:p>
            <w:pPr>
              <w:pStyle w:val="0"/>
            </w:pPr>
            <w:r>
              <w:rPr>
                <w:sz w:val="20"/>
              </w:rPr>
            </w:r>
          </w:p>
        </w:tc>
        <w:tc>
          <w:tcPr>
            <w:tcW w:w="1361" w:type="dxa"/>
          </w:tcPr>
          <w:p>
            <w:pPr>
              <w:pStyle w:val="0"/>
              <w:jc w:val="center"/>
            </w:pPr>
            <w:r>
              <w:rPr>
                <w:sz w:val="20"/>
              </w:rPr>
              <w:t xml:space="preserve">X</w:t>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Иные услуги и мероприятия в целях развития социального предпринимательства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w:t>
            </w:r>
          </w:p>
        </w:tc>
        <w:tc>
          <w:tcPr>
            <w:tcW w:w="4592" w:type="dxa"/>
          </w:tcPr>
          <w:p>
            <w:pPr>
              <w:pStyle w:val="0"/>
            </w:pPr>
            <w:r>
              <w:rPr>
                <w:sz w:val="20"/>
              </w:rPr>
              <w:t xml:space="preserve">Проведение региональных этапов всероссийских конкурсов в области социального предпринимательства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народно-художественных промыслов, ремесленной деятельности, сельского и экологического туризма</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Приобретение основных средств для осуществления основной деятельности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нематериальных активов для осуществления основной деятельности</w:t>
            </w:r>
          </w:p>
        </w:tc>
        <w:tc>
          <w:tcPr>
            <w:tcW w:w="3005" w:type="dxa"/>
          </w:tcPr>
          <w:p>
            <w:pPr>
              <w:pStyle w:val="0"/>
              <w:jc w:val="center"/>
            </w:pPr>
            <w:r>
              <w:rPr>
                <w:sz w:val="20"/>
              </w:rPr>
              <w:t xml:space="preserve">Не более 500 тыс. рублей в год</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Оказание консультационных услуг</w:t>
            </w:r>
          </w:p>
        </w:tc>
        <w:tc>
          <w:tcPr>
            <w:tcW w:w="3005" w:type="dxa"/>
          </w:tcPr>
          <w:p>
            <w:pPr>
              <w:pStyle w:val="0"/>
              <w:jc w:val="center"/>
            </w:pPr>
            <w:r>
              <w:rPr>
                <w:sz w:val="20"/>
              </w:rPr>
              <w:t xml:space="preserve">Не более 3 тыс. рублей на 1 консультацию 1 субъекту МСП или физическому лицу</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Оказание консалтинговых услуг по специализации отдельных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Оказание маркетинговых услуг (проведение маркетинговых исследований, направленных на анализ различных рынков, исходя из потребностей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Обеспечение участия в мероприятиях на крупных российских и международных выставочных площадках, конгрессно-выставочных мероприятиях с целью продвижения товаров (работ, услуг)</w:t>
            </w:r>
          </w:p>
        </w:tc>
        <w:tc>
          <w:tcPr>
            <w:tcW w:w="3005" w:type="dxa"/>
          </w:tcPr>
          <w:p>
            <w:pPr>
              <w:pStyle w:val="0"/>
              <w:jc w:val="center"/>
            </w:pPr>
            <w:r>
              <w:rPr>
                <w:sz w:val="20"/>
              </w:rPr>
              <w:t xml:space="preserve">При условии софинансирования со стороны субъекта МСП не менее 10%</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w:t>
            </w:r>
          </w:p>
        </w:tc>
        <w:tc>
          <w:tcPr>
            <w:tcW w:w="4592" w:type="dxa"/>
          </w:tcPr>
          <w:p>
            <w:pPr>
              <w:pStyle w:val="0"/>
            </w:pPr>
            <w:r>
              <w:rPr>
                <w:sz w:val="20"/>
              </w:rPr>
              <w:t xml:space="preserve">Организация проведения вебинаров, круглых столов, семинаров для субъектов МСП</w:t>
            </w:r>
          </w:p>
        </w:tc>
        <w:tc>
          <w:tcPr>
            <w:tcW w:w="3005" w:type="dxa"/>
          </w:tcPr>
          <w:p>
            <w:pPr>
              <w:pStyle w:val="0"/>
              <w:jc w:val="center"/>
            </w:pPr>
            <w:r>
              <w:rPr>
                <w:sz w:val="20"/>
              </w:rPr>
              <w:t xml:space="preserve">За счет средств федерального бюджета: на 1 вебинар - не более 50 тыс. рублей, на 1 семинар, круглый стол - не более 100 тыс. рублей, на 1 мастер-класс - не более 300 тыс. рублей.</w:t>
            </w:r>
          </w:p>
          <w:p>
            <w:pPr>
              <w:pStyle w:val="0"/>
              <w:jc w:val="center"/>
            </w:pPr>
            <w:r>
              <w:rPr>
                <w:sz w:val="20"/>
              </w:rPr>
              <w:t xml:space="preserve">Не более 2 одинаковых мероприятий в год</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8</w:t>
            </w:r>
          </w:p>
        </w:tc>
        <w:tc>
          <w:tcPr>
            <w:tcW w:w="4592" w:type="dxa"/>
          </w:tcPr>
          <w:p>
            <w:pPr>
              <w:pStyle w:val="0"/>
            </w:pPr>
            <w:r>
              <w:rPr>
                <w:sz w:val="20"/>
              </w:rPr>
              <w:t xml:space="preserve">Иные услуги и меры поддержки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Инжиниринговый центр (далее - РЦИ)</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Приобретение основных средств для осуществления опытно-конструкторской и научно-исследовательской деятельности</w:t>
            </w:r>
          </w:p>
        </w:tc>
        <w:tc>
          <w:tcPr>
            <w:tcW w:w="3005" w:type="dxa"/>
            <w:vMerge w:val="restart"/>
          </w:tcPr>
          <w:p>
            <w:pPr>
              <w:pStyle w:val="0"/>
              <w:jc w:val="center"/>
            </w:pPr>
            <w:r>
              <w:rPr>
                <w:sz w:val="20"/>
              </w:rPr>
              <w:t xml:space="preserve">Не более 10% от суммы средств федерального и регионального бюджетов, запланированных на финансирование центра "Мой бизнес" (для вновь создаваемых РЦИ).</w:t>
            </w:r>
          </w:p>
          <w:p>
            <w:pPr>
              <w:pStyle w:val="0"/>
              <w:jc w:val="center"/>
            </w:pPr>
            <w:r>
              <w:rPr>
                <w:sz w:val="20"/>
              </w:rPr>
              <w:t xml:space="preserve">Для действующих РЦИ - объем затрат определяется при согласовании сметы</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программ для электронных вычислительных машин и оборудования</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Приобретение основных средств для центра цифровых технологий в промышленности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Организация программ стажировок сотрудников РЦИ, в том числе за рубежом (стоимость проезда, питания и проживания оплачивается за счет статьи "Командировки" (</w:t>
            </w:r>
            <w:hyperlink w:history="0" w:anchor="P1302" w:tooltip="7">
              <w:r>
                <w:rPr>
                  <w:sz w:val="20"/>
                  <w:color w:val="0000ff"/>
                </w:rPr>
                <w:t xml:space="preserve">пункт 7</w:t>
              </w:r>
            </w:hyperlink>
            <w:r>
              <w:rPr>
                <w:sz w:val="20"/>
              </w:rPr>
              <w:t xml:space="preserve"> раздела "Центр "Мой бизнес")</w:t>
            </w:r>
          </w:p>
        </w:tc>
        <w:tc>
          <w:tcPr>
            <w:tcW w:w="3005" w:type="dxa"/>
          </w:tcPr>
          <w:p>
            <w:pPr>
              <w:pStyle w:val="0"/>
              <w:jc w:val="center"/>
            </w:pPr>
            <w:r>
              <w:rPr>
                <w:sz w:val="20"/>
              </w:rPr>
              <w:t xml:space="preserve">Не более 300 тыс. руб./1 чел. в Российской Федерации и не более 500 тыс. руб./1 чел. за рубежом</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Оплата услуг специализированных организаций и квалифицированных специалистов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w:t>
            </w:r>
          </w:p>
        </w:tc>
        <w:tc>
          <w:tcPr>
            <w:tcW w:w="4592" w:type="dxa"/>
          </w:tcPr>
          <w:p>
            <w:pPr>
              <w:pStyle w:val="0"/>
            </w:pPr>
            <w:r>
              <w:rPr>
                <w:sz w:val="20"/>
              </w:rPr>
              <w:t xml:space="preserve">Консультационные услуги, в том числе с привлечением иностранных экспертов в сфере инжиниринга в интересах субъектов МСП</w:t>
            </w:r>
          </w:p>
        </w:tc>
        <w:tc>
          <w:tcPr>
            <w:tcW w:w="3005" w:type="dxa"/>
          </w:tcPr>
          <w:p>
            <w:pPr>
              <w:pStyle w:val="0"/>
              <w:jc w:val="center"/>
            </w:pPr>
            <w:r>
              <w:rPr>
                <w:sz w:val="20"/>
              </w:rPr>
              <w:t xml:space="preserve">Не более 450 тыс. рублей на 1 мероприятие, не более 200 тыс. рублей на 1 эксперта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5.2</w:t>
            </w:r>
          </w:p>
        </w:tc>
        <w:tc>
          <w:tcPr>
            <w:tcW w:w="4592" w:type="dxa"/>
          </w:tcPr>
          <w:p>
            <w:pPr>
              <w:pStyle w:val="0"/>
            </w:pPr>
            <w:r>
              <w:rPr>
                <w:sz w:val="20"/>
              </w:rPr>
              <w:t xml:space="preserve">Анализ потенциала малых и средних предприятий, выявление текущих потребностей и проблем предприятий, влияющих на их конкурентоспособность</w:t>
            </w:r>
          </w:p>
        </w:tc>
        <w:tc>
          <w:tcPr>
            <w:tcW w:w="3005" w:type="dxa"/>
          </w:tcPr>
          <w:p>
            <w:pPr>
              <w:pStyle w:val="0"/>
              <w:jc w:val="center"/>
            </w:pPr>
            <w:r>
              <w:rPr>
                <w:sz w:val="20"/>
              </w:rPr>
              <w:t xml:space="preserve">Не более 200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5.3</w:t>
            </w:r>
          </w:p>
        </w:tc>
        <w:tc>
          <w:tcPr>
            <w:tcW w:w="4592" w:type="dxa"/>
          </w:tcPr>
          <w:p>
            <w:pPr>
              <w:pStyle w:val="0"/>
            </w:pPr>
            <w:r>
              <w:rPr>
                <w:sz w:val="20"/>
              </w:rPr>
              <w:t xml:space="preserve">Проведение экспресс-оценки индекса технологической готовности</w:t>
            </w:r>
          </w:p>
        </w:tc>
        <w:tc>
          <w:tcPr>
            <w:tcW w:w="3005" w:type="dxa"/>
          </w:tcPr>
          <w:p>
            <w:pPr>
              <w:pStyle w:val="0"/>
              <w:jc w:val="center"/>
            </w:pPr>
            <w:r>
              <w:rPr>
                <w:sz w:val="20"/>
              </w:rPr>
              <w:t xml:space="preserve">Не более 250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5.4</w:t>
            </w:r>
          </w:p>
        </w:tc>
        <w:tc>
          <w:tcPr>
            <w:tcW w:w="4592" w:type="dxa"/>
          </w:tcPr>
          <w:p>
            <w:pPr>
              <w:pStyle w:val="0"/>
            </w:pPr>
            <w:r>
              <w:rPr>
                <w:sz w:val="20"/>
              </w:rPr>
              <w:t xml:space="preserve">Оценка потенциала импортозамещения</w:t>
            </w:r>
          </w:p>
        </w:tc>
        <w:tc>
          <w:tcPr>
            <w:tcW w:w="3005" w:type="dxa"/>
          </w:tcPr>
          <w:p>
            <w:pPr>
              <w:pStyle w:val="0"/>
              <w:jc w:val="center"/>
            </w:pPr>
            <w:r>
              <w:rPr>
                <w:sz w:val="20"/>
              </w:rPr>
              <w:t xml:space="preserve">Не более 200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5.5</w:t>
            </w:r>
          </w:p>
        </w:tc>
        <w:tc>
          <w:tcPr>
            <w:tcW w:w="4592" w:type="dxa"/>
          </w:tcPr>
          <w:p>
            <w:pPr>
              <w:pStyle w:val="0"/>
            </w:pPr>
            <w:r>
              <w:rPr>
                <w:sz w:val="20"/>
              </w:rPr>
              <w:t xml:space="preserve">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tc>
        <w:tc>
          <w:tcPr>
            <w:tcW w:w="3005" w:type="dxa"/>
          </w:tcPr>
          <w:p>
            <w:pPr>
              <w:pStyle w:val="0"/>
              <w:jc w:val="center"/>
            </w:pPr>
            <w:r>
              <w:rPr>
                <w:sz w:val="20"/>
              </w:rPr>
              <w:t xml:space="preserve">Не более 350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5.6</w:t>
            </w:r>
          </w:p>
        </w:tc>
        <w:tc>
          <w:tcPr>
            <w:tcW w:w="4592" w:type="dxa"/>
          </w:tcPr>
          <w:p>
            <w:pPr>
              <w:pStyle w:val="0"/>
            </w:pPr>
            <w:r>
              <w:rPr>
                <w:sz w:val="20"/>
              </w:rPr>
              <w:t xml:space="preserve">Проведение финансового или управленческого аудита на предприятиях МСП</w:t>
            </w:r>
          </w:p>
        </w:tc>
        <w:tc>
          <w:tcPr>
            <w:tcW w:w="3005" w:type="dxa"/>
          </w:tcPr>
          <w:p>
            <w:pPr>
              <w:pStyle w:val="0"/>
              <w:jc w:val="center"/>
            </w:pPr>
            <w:r>
              <w:rPr>
                <w:sz w:val="20"/>
              </w:rPr>
              <w:t xml:space="preserve">Не более 200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5.7</w:t>
            </w:r>
          </w:p>
        </w:tc>
        <w:tc>
          <w:tcPr>
            <w:tcW w:w="4592" w:type="dxa"/>
          </w:tcPr>
          <w:p>
            <w:pPr>
              <w:pStyle w:val="0"/>
            </w:pPr>
            <w:r>
              <w:rPr>
                <w:sz w:val="20"/>
              </w:rPr>
              <w:t xml:space="preserve">Экспертное сопровождение рекомендаций по результатам проведенных технических аудитов, реализации программ развития и модернизации, инвестиционных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tc>
        <w:tc>
          <w:tcPr>
            <w:tcW w:w="3005" w:type="dxa"/>
          </w:tcPr>
          <w:p>
            <w:pPr>
              <w:pStyle w:val="0"/>
              <w:jc w:val="center"/>
            </w:pPr>
            <w:r>
              <w:rPr>
                <w:sz w:val="20"/>
              </w:rPr>
              <w:t xml:space="preserve">Не более 300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5.8</w:t>
            </w:r>
          </w:p>
        </w:tc>
        <w:tc>
          <w:tcPr>
            <w:tcW w:w="4592" w:type="dxa"/>
          </w:tcPr>
          <w:p>
            <w:pPr>
              <w:pStyle w:val="0"/>
            </w:pPr>
            <w:r>
              <w:rPr>
                <w:sz w:val="20"/>
              </w:rPr>
              <w:t xml:space="preserve">Составление бизнес-планов/технико-экономических обоснований/инвестиционных меморандумов для инвестиционных проектов предприятий</w:t>
            </w:r>
          </w:p>
        </w:tc>
        <w:tc>
          <w:tcPr>
            <w:tcW w:w="3005" w:type="dxa"/>
          </w:tcPr>
          <w:p>
            <w:pPr>
              <w:pStyle w:val="0"/>
              <w:jc w:val="center"/>
            </w:pPr>
            <w:r>
              <w:rPr>
                <w:sz w:val="20"/>
              </w:rPr>
              <w:t xml:space="preserve">Не более 400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bookmarkStart w:id="1727" w:name="P1727"/>
          <w:bookmarkEnd w:id="1727"/>
          <w:p>
            <w:pPr>
              <w:pStyle w:val="0"/>
              <w:jc w:val="center"/>
            </w:pPr>
            <w:r>
              <w:rPr>
                <w:sz w:val="20"/>
              </w:rPr>
              <w:t xml:space="preserve">5.9</w:t>
            </w:r>
          </w:p>
        </w:tc>
        <w:tc>
          <w:tcPr>
            <w:tcW w:w="4592" w:type="dxa"/>
          </w:tcPr>
          <w:p>
            <w:pPr>
              <w:pStyle w:val="0"/>
            </w:pPr>
            <w:r>
              <w:rPr>
                <w:sz w:val="20"/>
              </w:rPr>
              <w:t xml:space="preserve">Содействие в проведении работ по защите прав на результаты интеллектуальной деятельности и приравненные к ним средства индивидуализации юридических лиц, товаров, работ, услуг предприятий</w:t>
            </w:r>
          </w:p>
        </w:tc>
        <w:tc>
          <w:tcPr>
            <w:tcW w:w="3005" w:type="dxa"/>
          </w:tcPr>
          <w:p>
            <w:pPr>
              <w:pStyle w:val="0"/>
              <w:jc w:val="center"/>
            </w:pPr>
            <w:r>
              <w:rPr>
                <w:sz w:val="20"/>
              </w:rPr>
              <w:t xml:space="preserve">Не более 500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bookmarkStart w:id="1734" w:name="P1734"/>
          <w:bookmarkEnd w:id="1734"/>
          <w:p>
            <w:pPr>
              <w:pStyle w:val="0"/>
              <w:jc w:val="center"/>
            </w:pPr>
            <w:r>
              <w:rPr>
                <w:sz w:val="20"/>
              </w:rPr>
              <w:t xml:space="preserve">5.10</w:t>
            </w:r>
          </w:p>
        </w:tc>
        <w:tc>
          <w:tcPr>
            <w:tcW w:w="4592" w:type="dxa"/>
          </w:tcPr>
          <w:p>
            <w:pPr>
              <w:pStyle w:val="0"/>
            </w:pPr>
            <w:r>
              <w:rPr>
                <w:sz w:val="20"/>
              </w:rPr>
              <w:t xml:space="preserve">Содействие в проведении сертификации, декларировании, аттестации, иные услуги</w:t>
            </w:r>
          </w:p>
        </w:tc>
        <w:tc>
          <w:tcPr>
            <w:tcW w:w="3005" w:type="dxa"/>
          </w:tcPr>
          <w:p>
            <w:pPr>
              <w:pStyle w:val="0"/>
              <w:jc w:val="center"/>
            </w:pPr>
            <w:r>
              <w:rPr>
                <w:sz w:val="20"/>
              </w:rPr>
              <w:t xml:space="preserve">Не более 650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5.11</w:t>
            </w:r>
          </w:p>
        </w:tc>
        <w:tc>
          <w:tcPr>
            <w:tcW w:w="4592" w:type="dxa"/>
          </w:tcPr>
          <w:p>
            <w:pPr>
              <w:pStyle w:val="0"/>
            </w:pPr>
            <w:r>
              <w:rPr>
                <w:sz w:val="20"/>
              </w:rPr>
              <w:t xml:space="preserve">Проведение исследований, испытаний, оценок соответствия, необходимых для реализации </w:t>
            </w:r>
            <w:hyperlink w:history="0" w:anchor="P1727" w:tooltip="5.9">
              <w:r>
                <w:rPr>
                  <w:sz w:val="20"/>
                  <w:color w:val="0000ff"/>
                </w:rPr>
                <w:t xml:space="preserve">подпунктов 5.9</w:t>
              </w:r>
            </w:hyperlink>
            <w:r>
              <w:rPr>
                <w:sz w:val="20"/>
              </w:rPr>
              <w:t xml:space="preserve">, </w:t>
            </w:r>
            <w:hyperlink w:history="0" w:anchor="P1734" w:tooltip="5.10">
              <w:r>
                <w:rPr>
                  <w:sz w:val="20"/>
                  <w:color w:val="0000ff"/>
                </w:rPr>
                <w:t xml:space="preserve">5.10</w:t>
              </w:r>
            </w:hyperlink>
            <w:r>
              <w:rPr>
                <w:sz w:val="20"/>
              </w:rPr>
              <w:t xml:space="preserve"> настоящего раздела</w:t>
            </w:r>
          </w:p>
        </w:tc>
        <w:tc>
          <w:tcPr>
            <w:tcW w:w="3005" w:type="dxa"/>
          </w:tcPr>
          <w:p>
            <w:pPr>
              <w:pStyle w:val="0"/>
              <w:jc w:val="center"/>
            </w:pPr>
            <w:r>
              <w:rPr>
                <w:sz w:val="20"/>
              </w:rPr>
              <w:t xml:space="preserve">Не более 550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5.12</w:t>
            </w:r>
          </w:p>
        </w:tc>
        <w:tc>
          <w:tcPr>
            <w:tcW w:w="4592" w:type="dxa"/>
          </w:tcPr>
          <w:p>
            <w:pPr>
              <w:pStyle w:val="0"/>
            </w:pPr>
            <w:r>
              <w:rPr>
                <w:sz w:val="20"/>
              </w:rPr>
              <w:t xml:space="preserve">Разработка программ модернизации/развития/технического перевооружения производства для предприятий</w:t>
            </w:r>
          </w:p>
        </w:tc>
        <w:tc>
          <w:tcPr>
            <w:tcW w:w="3005" w:type="dxa"/>
          </w:tcPr>
          <w:p>
            <w:pPr>
              <w:pStyle w:val="0"/>
              <w:jc w:val="center"/>
            </w:pPr>
            <w:r>
              <w:rPr>
                <w:sz w:val="20"/>
              </w:rPr>
              <w:t xml:space="preserve">Не более 800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5.13</w:t>
            </w:r>
          </w:p>
        </w:tc>
        <w:tc>
          <w:tcPr>
            <w:tcW w:w="4592" w:type="dxa"/>
          </w:tcPr>
          <w:p>
            <w:pPr>
              <w:pStyle w:val="0"/>
            </w:pPr>
            <w:r>
              <w:rPr>
                <w:sz w:val="20"/>
              </w:rPr>
              <w:t xml:space="preserve">Разработка технических решений (проектов, планов) в вопросах организации технического управления производством</w:t>
            </w:r>
          </w:p>
        </w:tc>
        <w:tc>
          <w:tcPr>
            <w:tcW w:w="3005" w:type="dxa"/>
          </w:tcPr>
          <w:p>
            <w:pPr>
              <w:pStyle w:val="0"/>
              <w:jc w:val="center"/>
            </w:pPr>
            <w:r>
              <w:rPr>
                <w:sz w:val="20"/>
              </w:rPr>
              <w:t xml:space="preserve">Не более 800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5.14</w:t>
            </w:r>
          </w:p>
        </w:tc>
        <w:tc>
          <w:tcPr>
            <w:tcW w:w="4592" w:type="dxa"/>
          </w:tcPr>
          <w:p>
            <w:pPr>
              <w:pStyle w:val="0"/>
            </w:pPr>
            <w:r>
              <w:rPr>
                <w:sz w:val="20"/>
              </w:rPr>
              <w:t xml:space="preserve">Разработка технических решений (проектов, планов) по внедрению цифровизации производственных процессов</w:t>
            </w:r>
          </w:p>
        </w:tc>
        <w:tc>
          <w:tcPr>
            <w:tcW w:w="3005" w:type="dxa"/>
            <w:vMerge w:val="restart"/>
          </w:tcPr>
          <w:p>
            <w:pPr>
              <w:pStyle w:val="0"/>
              <w:jc w:val="center"/>
            </w:pPr>
            <w:r>
              <w:rPr>
                <w:sz w:val="20"/>
              </w:rPr>
              <w:t xml:space="preserve">Не более 500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5.15</w:t>
            </w:r>
          </w:p>
        </w:tc>
        <w:tc>
          <w:tcPr>
            <w:tcW w:w="4592" w:type="dxa"/>
          </w:tcPr>
          <w:p>
            <w:pPr>
              <w:pStyle w:val="0"/>
            </w:pPr>
            <w:r>
              <w:rPr>
                <w:sz w:val="20"/>
              </w:rPr>
              <w:t xml:space="preserve">Проведение технических аудитов (технологического/энергетического/экологического/других видов аудита производства) на предприятиях МСП</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5.16</w:t>
            </w:r>
          </w:p>
        </w:tc>
        <w:tc>
          <w:tcPr>
            <w:tcW w:w="4592" w:type="dxa"/>
          </w:tcPr>
          <w:p>
            <w:pPr>
              <w:pStyle w:val="0"/>
            </w:pPr>
            <w:r>
              <w:rPr>
                <w:sz w:val="20"/>
              </w:rPr>
              <w:t xml:space="preserve">Проведение семинаров, вебинаров и круглых столов по заявкам субъектов МСП с приглашением сторонних профильных организаций и экспертов</w:t>
            </w:r>
          </w:p>
        </w:tc>
        <w:tc>
          <w:tcPr>
            <w:tcW w:w="3005" w:type="dxa"/>
          </w:tcPr>
          <w:p>
            <w:pPr>
              <w:pStyle w:val="0"/>
              <w:jc w:val="center"/>
            </w:pPr>
            <w:r>
              <w:rPr>
                <w:sz w:val="20"/>
              </w:rPr>
              <w:t xml:space="preserve">Не более 300 тыс. рублей на 1 круглый стол, не более 50 тыс. рублей на 1 вебинар</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5.17</w:t>
            </w:r>
          </w:p>
        </w:tc>
        <w:tc>
          <w:tcPr>
            <w:tcW w:w="4592" w:type="dxa"/>
          </w:tcPr>
          <w:p>
            <w:pPr>
              <w:pStyle w:val="0"/>
            </w:pPr>
            <w:r>
              <w:rPr>
                <w:sz w:val="20"/>
              </w:rPr>
              <w:t xml:space="preserve">Проведение мониторинга инжиниринговых компаний и рынка инжиниринговых услуг, формирование базы данных по производственным предприятиям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5.18</w:t>
            </w:r>
          </w:p>
        </w:tc>
        <w:tc>
          <w:tcPr>
            <w:tcW w:w="4592" w:type="dxa"/>
          </w:tcPr>
          <w:p>
            <w:pPr>
              <w:pStyle w:val="0"/>
            </w:pPr>
            <w:r>
              <w:rPr>
                <w:sz w:val="20"/>
              </w:rPr>
              <w:t xml:space="preserve">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Иные услуги и меры поддержки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прототипирования (далее - ЦП)</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Приобретение основных средств для осуществления производственно-технологической и проектно-конструкторской деятельности ЦП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нематериальных активов (программы для электронных вычислительных машин и оборудования)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Организация программ стажировок сотрудников ЦП, в том числе за рубежом (стоимость проезда, питания и проживания оплачивается за счет статьи "Командировки" (</w:t>
            </w:r>
            <w:hyperlink w:history="0" w:anchor="P1302" w:tooltip="7">
              <w:r>
                <w:rPr>
                  <w:sz w:val="20"/>
                  <w:color w:val="0000ff"/>
                </w:rPr>
                <w:t xml:space="preserve">пункт 7</w:t>
              </w:r>
            </w:hyperlink>
            <w:r>
              <w:rPr>
                <w:sz w:val="20"/>
              </w:rPr>
              <w:t xml:space="preserve"> раздела "Центра "Мой бизнес")</w:t>
            </w:r>
          </w:p>
        </w:tc>
        <w:tc>
          <w:tcPr>
            <w:tcW w:w="3005" w:type="dxa"/>
          </w:tcPr>
          <w:p>
            <w:pPr>
              <w:pStyle w:val="0"/>
              <w:jc w:val="center"/>
            </w:pPr>
            <w:r>
              <w:rPr>
                <w:sz w:val="20"/>
              </w:rPr>
              <w:t xml:space="preserve">Не более 300 тыс. рублей/1 чел. в Российской Федерации и не более 500 тыс. рублей/1 чел. за рубежом</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Проведение маркетинговых исследований в интересах развития ЦП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Организация и проведение семинаров, вебинаров, круглых столов для субъектов МСП</w:t>
            </w:r>
          </w:p>
        </w:tc>
        <w:tc>
          <w:tcPr>
            <w:tcW w:w="3005" w:type="dxa"/>
          </w:tcPr>
          <w:p>
            <w:pPr>
              <w:pStyle w:val="0"/>
              <w:jc w:val="center"/>
            </w:pPr>
            <w:r>
              <w:rPr>
                <w:sz w:val="20"/>
              </w:rPr>
              <w:t xml:space="preserve">Не более 300 тыс. рублей на 1 круглый стол, не более 100 тыс. рублей на 1 семинар, не более 50 тыс. рублей на 1 вебинар.</w:t>
            </w:r>
          </w:p>
          <w:p>
            <w:pPr>
              <w:pStyle w:val="0"/>
              <w:jc w:val="center"/>
            </w:pPr>
            <w:r>
              <w:rPr>
                <w:sz w:val="20"/>
              </w:rPr>
              <w:t xml:space="preserve">Не более 2 одинаковых мероприятий в год</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Иные услуги и меры поддержки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сертификации, стандартизации и испытаний (далее - ЦССИ)</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Приобретение основных средств для осуществления основной деятельности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нематериальных активов (программы для электронных вычислительных машин и оборудования)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Организация программ стажировок сотрудников ЦССИ, в том числе за рубежом (стоимость проезда, питания и проживания оплачивается за счет статьи "Командировки" (</w:t>
            </w:r>
            <w:hyperlink w:history="0" w:anchor="P1302" w:tooltip="7">
              <w:r>
                <w:rPr>
                  <w:sz w:val="20"/>
                  <w:color w:val="0000ff"/>
                </w:rPr>
                <w:t xml:space="preserve">пункт 7</w:t>
              </w:r>
            </w:hyperlink>
            <w:r>
              <w:rPr>
                <w:sz w:val="20"/>
              </w:rPr>
              <w:t xml:space="preserve"> раздела "Центра "Мой бизнес")</w:t>
            </w:r>
          </w:p>
        </w:tc>
        <w:tc>
          <w:tcPr>
            <w:tcW w:w="3005" w:type="dxa"/>
          </w:tcPr>
          <w:p>
            <w:pPr>
              <w:pStyle w:val="0"/>
              <w:jc w:val="center"/>
            </w:pPr>
            <w:r>
              <w:rPr>
                <w:sz w:val="20"/>
              </w:rPr>
              <w:t xml:space="preserve">Не более 300 тыс. рублей/1 чел. в Российской Федерации и не более 500 тыс. рублей/1 чел. за рубежом</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Проведение маркетинговых исследований в интересах развития ЦССИ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Организация и проведение вебинаров, круглых столов и семинаров для субъектов МСП</w:t>
            </w:r>
          </w:p>
        </w:tc>
        <w:tc>
          <w:tcPr>
            <w:tcW w:w="3005" w:type="dxa"/>
          </w:tcPr>
          <w:p>
            <w:pPr>
              <w:pStyle w:val="0"/>
              <w:jc w:val="center"/>
            </w:pPr>
            <w:r>
              <w:rPr>
                <w:sz w:val="20"/>
              </w:rPr>
              <w:t xml:space="preserve">Не более 300 тыс. рублей на 1 круглый стол, не более 100 тыс. рублей на 1 семинар, не более 50 тыс. рублей на 1 вебинар.</w:t>
            </w:r>
          </w:p>
          <w:p>
            <w:pPr>
              <w:pStyle w:val="0"/>
              <w:jc w:val="center"/>
            </w:pPr>
            <w:r>
              <w:rPr>
                <w:sz w:val="20"/>
              </w:rPr>
              <w:t xml:space="preserve">Не более 2 одинаковых мероприятий в год</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Иные услуги и меры поддержки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кластерного развития (далее - ЦКР)</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Приобретение основных средств для осуществления основной деятельности центра кластерного развития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нематериальных активов (программы для электронных вычислительных машин, оборудования)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Оплата услуг специализированных организаций и квалифицированных специалистов (прописываются организации и специалисты)</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3.1</w:t>
            </w:r>
          </w:p>
        </w:tc>
        <w:tc>
          <w:tcPr>
            <w:tcW w:w="4592" w:type="dxa"/>
          </w:tcPr>
          <w:p>
            <w:pPr>
              <w:pStyle w:val="0"/>
            </w:pPr>
            <w:r>
              <w:rPr>
                <w:sz w:val="20"/>
              </w:rPr>
              <w:t xml:space="preserve">Консультационные услуги, в том числе с привлечением иностранных экспертов в сфере кластерного развития в интересах субъектов МСП - членов кластеров</w:t>
            </w:r>
          </w:p>
        </w:tc>
        <w:tc>
          <w:tcPr>
            <w:tcW w:w="3005" w:type="dxa"/>
          </w:tcPr>
          <w:p>
            <w:pPr>
              <w:pStyle w:val="0"/>
              <w:jc w:val="center"/>
            </w:pPr>
            <w:r>
              <w:rPr>
                <w:sz w:val="20"/>
              </w:rPr>
              <w:t xml:space="preserve">Не более 400 тыс. рублей на 1 мероприятие при условии участия не менее 6 членов кластера 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3.2</w:t>
            </w:r>
          </w:p>
        </w:tc>
        <w:tc>
          <w:tcPr>
            <w:tcW w:w="4592" w:type="dxa"/>
          </w:tcPr>
          <w:p>
            <w:pPr>
              <w:pStyle w:val="0"/>
            </w:pPr>
            <w:r>
              <w:rPr>
                <w:sz w:val="20"/>
              </w:rPr>
              <w:t xml:space="preserve">Консультационные услуги по вопросам правового обеспечения деятельности для предприятий, являющихся участниками кластеров, проведение экспертизы сметной стоимости совместных проектов участников кластера</w:t>
            </w:r>
          </w:p>
        </w:tc>
        <w:tc>
          <w:tcPr>
            <w:tcW w:w="3005" w:type="dxa"/>
          </w:tcPr>
          <w:p>
            <w:pPr>
              <w:pStyle w:val="0"/>
              <w:jc w:val="center"/>
            </w:pPr>
            <w:r>
              <w:rPr>
                <w:sz w:val="20"/>
              </w:rPr>
              <w:t xml:space="preserve">Не более 450 тыс. рублей на 1 услугу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3.3</w:t>
            </w:r>
          </w:p>
        </w:tc>
        <w:tc>
          <w:tcPr>
            <w:tcW w:w="4592" w:type="dxa"/>
          </w:tcPr>
          <w:p>
            <w:pPr>
              <w:pStyle w:val="0"/>
            </w:pPr>
            <w:r>
              <w:rPr>
                <w:sz w:val="20"/>
              </w:rPr>
              <w:t xml:space="preserve">Оказание маркетинговых услуг (проведение маркетинговых исследований, направленных на анализ различных рынков, исходя из потребностей предприятий кластеров; разработка и продвижение региональных брендов и другое), услуг по брендированию, позиционированию и продвижению новых продуктов (услуг) предприятий</w:t>
            </w:r>
          </w:p>
        </w:tc>
        <w:tc>
          <w:tcPr>
            <w:tcW w:w="3005" w:type="dxa"/>
          </w:tcPr>
          <w:p>
            <w:pPr>
              <w:pStyle w:val="0"/>
              <w:jc w:val="center"/>
            </w:pPr>
            <w:r>
              <w:rPr>
                <w:sz w:val="20"/>
              </w:rPr>
              <w:t xml:space="preserve">Не более 400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3.4</w:t>
            </w:r>
          </w:p>
        </w:tc>
        <w:tc>
          <w:tcPr>
            <w:tcW w:w="4592" w:type="dxa"/>
          </w:tcPr>
          <w:p>
            <w:pPr>
              <w:pStyle w:val="0"/>
            </w:pPr>
            <w:r>
              <w:rPr>
                <w:sz w:val="20"/>
              </w:rPr>
              <w:t xml:space="preserve">Проведение информационных кампаний в средствах массовой информации для предприятий МСП, являющихся участниками кластеров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3.5</w:t>
            </w:r>
          </w:p>
        </w:tc>
        <w:tc>
          <w:tcPr>
            <w:tcW w:w="4592" w:type="dxa"/>
          </w:tcPr>
          <w:p>
            <w:pPr>
              <w:pStyle w:val="0"/>
            </w:pPr>
            <w:r>
              <w:rPr>
                <w:sz w:val="20"/>
              </w:rPr>
              <w:t xml:space="preserve">Подготовка бизнес-планов, технико-экономических обоснований совместных кластерных проектов предприятий</w:t>
            </w:r>
          </w:p>
        </w:tc>
        <w:tc>
          <w:tcPr>
            <w:tcW w:w="3005" w:type="dxa"/>
          </w:tcPr>
          <w:p>
            <w:pPr>
              <w:pStyle w:val="0"/>
              <w:jc w:val="center"/>
            </w:pPr>
            <w:r>
              <w:rPr>
                <w:sz w:val="20"/>
              </w:rPr>
              <w:t xml:space="preserve">Не более 450 тыс. рублей на 1 кластерный проект при условии софинансирования со стороны субъекта МСП - участника кластера</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3.6</w:t>
            </w:r>
          </w:p>
        </w:tc>
        <w:tc>
          <w:tcPr>
            <w:tcW w:w="4592" w:type="dxa"/>
          </w:tcPr>
          <w:p>
            <w:pPr>
              <w:pStyle w:val="0"/>
            </w:pPr>
            <w:r>
              <w:rPr>
                <w:sz w:val="20"/>
              </w:rPr>
              <w:t xml:space="preserve">Разработка или актуализация программ развития территориальных кластеров, технико-экономических обоснований инфраструктурных проектов кластера</w:t>
            </w:r>
          </w:p>
        </w:tc>
        <w:tc>
          <w:tcPr>
            <w:tcW w:w="3005" w:type="dxa"/>
          </w:tcPr>
          <w:p>
            <w:pPr>
              <w:pStyle w:val="0"/>
              <w:jc w:val="center"/>
            </w:pPr>
            <w:r>
              <w:rPr>
                <w:sz w:val="20"/>
              </w:rPr>
              <w:t xml:space="preserve">Не более 1,4 млн. рублей на разработку нового документа, не более 700 тыс. рублей на актуализацию, при содействии РЦИ в случае разработки концепции производственного кластера</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3.7</w:t>
            </w:r>
          </w:p>
        </w:tc>
        <w:tc>
          <w:tcPr>
            <w:tcW w:w="4592" w:type="dxa"/>
          </w:tcPr>
          <w:p>
            <w:pPr>
              <w:pStyle w:val="0"/>
            </w:pPr>
            <w:r>
              <w:rPr>
                <w:sz w:val="20"/>
              </w:rPr>
              <w:t xml:space="preserve">Организация работ по обеспечению соответствия продукции предприятий, являющихся участниками кластеров, требованиям потребителей, содействие в получении разрешительной документации, в том числе проведении сертификации, декларировании, аттестации (иных услуг) для продукции предприятий в целях выхода на внутренние и зарубежные рынки, рынки крупных заказчиков</w:t>
            </w:r>
          </w:p>
        </w:tc>
        <w:tc>
          <w:tcPr>
            <w:tcW w:w="3005" w:type="dxa"/>
          </w:tcPr>
          <w:p>
            <w:pPr>
              <w:pStyle w:val="0"/>
              <w:jc w:val="center"/>
            </w:pPr>
            <w:r>
              <w:rPr>
                <w:sz w:val="20"/>
              </w:rPr>
              <w:t xml:space="preserve">Не более 650 тыс. рублей на 1 товар (работу, услугу) на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3.8</w:t>
            </w:r>
          </w:p>
        </w:tc>
        <w:tc>
          <w:tcPr>
            <w:tcW w:w="4592" w:type="dxa"/>
          </w:tcPr>
          <w:p>
            <w:pPr>
              <w:pStyle w:val="0"/>
            </w:pPr>
            <w:r>
              <w:rPr>
                <w:sz w:val="20"/>
              </w:rPr>
              <w:t xml:space="preserve">Организация участия предприятий МСП - членов кластеров в отраслевых российских и зарубежных мероприятиях</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Проведение форумов, конференций для предприятий МСП, являющихся участниками кластеров</w:t>
            </w:r>
          </w:p>
        </w:tc>
        <w:tc>
          <w:tcPr>
            <w:tcW w:w="3005" w:type="dxa"/>
          </w:tcPr>
          <w:p>
            <w:pPr>
              <w:pStyle w:val="0"/>
              <w:jc w:val="center"/>
            </w:pPr>
            <w:r>
              <w:rPr>
                <w:sz w:val="20"/>
              </w:rPr>
              <w:t xml:space="preserve">Не более 2 млн. рублей на 1 форум, не более 500 тыс. рублей на 1 конференцию.</w:t>
            </w:r>
          </w:p>
          <w:p>
            <w:pPr>
              <w:pStyle w:val="0"/>
              <w:jc w:val="center"/>
            </w:pPr>
            <w:r>
              <w:rPr>
                <w:sz w:val="20"/>
              </w:rPr>
              <w:t xml:space="preserve">Не более 2 крупных мероприятий в год при условии не менее 30 участников в каждом мероприятии</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Проведение семинаров, вебинаров, круглых столов по заявкам предприятий МСП, являющихся участниками кластеров</w:t>
            </w:r>
          </w:p>
        </w:tc>
        <w:tc>
          <w:tcPr>
            <w:tcW w:w="3005" w:type="dxa"/>
          </w:tcPr>
          <w:p>
            <w:pPr>
              <w:pStyle w:val="0"/>
              <w:jc w:val="center"/>
            </w:pPr>
            <w:r>
              <w:rPr>
                <w:sz w:val="20"/>
              </w:rPr>
              <w:t xml:space="preserve">Не более 50 тыс. рублей на 1 вебинар, семинар, круглый стол (с приглашением сторонних экспертов для докладов и сообщений)</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Проведение межрегиональных бизнес-миссий для предприятий МСП, являющихся участниками кластеров</w:t>
            </w:r>
          </w:p>
        </w:tc>
        <w:tc>
          <w:tcPr>
            <w:tcW w:w="3005" w:type="dxa"/>
          </w:tcPr>
          <w:p>
            <w:pPr>
              <w:pStyle w:val="0"/>
              <w:jc w:val="center"/>
            </w:pPr>
            <w:r>
              <w:rPr>
                <w:sz w:val="20"/>
              </w:rPr>
              <w:t xml:space="preserve">На 1 бизнес-миссию - не более 700 тыс. руб., не более 200 тыс. рублей на 1 участника кластера. 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w:t>
            </w:r>
          </w:p>
        </w:tc>
        <w:tc>
          <w:tcPr>
            <w:tcW w:w="4592" w:type="dxa"/>
          </w:tcPr>
          <w:p>
            <w:pPr>
              <w:pStyle w:val="0"/>
            </w:pPr>
            <w:r>
              <w:rPr>
                <w:sz w:val="20"/>
              </w:rPr>
              <w:t xml:space="preserve">Организация участия предприятий МСП, являющихся участниками кластеров, на отраслевых российских и зарубежных выставочных площадках (оплата организационного взноса, аренда выставочной площади и выставочного оборудования, застройка стенда)</w:t>
            </w:r>
          </w:p>
        </w:tc>
        <w:tc>
          <w:tcPr>
            <w:tcW w:w="3005" w:type="dxa"/>
          </w:tcPr>
          <w:p>
            <w:pPr>
              <w:pStyle w:val="0"/>
              <w:jc w:val="center"/>
            </w:pPr>
            <w:r>
              <w:rPr>
                <w:sz w:val="20"/>
              </w:rPr>
              <w:t xml:space="preserve">Не более 2,5 млн. рублей на 1 кластер, не более 1 млн. рублей на 1 российское мероприятие и не более 1,5 млн. рублей на 1 зарубежное мероприятие, при условии софинансирования со стороны субъекта МСП не менее 20%</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8</w:t>
            </w:r>
          </w:p>
        </w:tc>
        <w:tc>
          <w:tcPr>
            <w:tcW w:w="4592" w:type="dxa"/>
          </w:tcPr>
          <w:p>
            <w:pPr>
              <w:pStyle w:val="0"/>
            </w:pPr>
            <w:r>
              <w:rPr>
                <w:sz w:val="20"/>
              </w:rPr>
              <w:t xml:space="preserve">Организация программ стажировок сотрудников ЦКР, в том числе за рубежом (стоимость проезда, питания и проживания оплачивается за счет статьи "Командировки" (</w:t>
            </w:r>
            <w:hyperlink w:history="0" w:anchor="P1302" w:tooltip="7">
              <w:r>
                <w:rPr>
                  <w:sz w:val="20"/>
                  <w:color w:val="0000ff"/>
                </w:rPr>
                <w:t xml:space="preserve">пункт 7</w:t>
              </w:r>
            </w:hyperlink>
            <w:r>
              <w:rPr>
                <w:sz w:val="20"/>
              </w:rPr>
              <w:t xml:space="preserve"> раздела "центра "Мой бизнес")</w:t>
            </w:r>
          </w:p>
        </w:tc>
        <w:tc>
          <w:tcPr>
            <w:tcW w:w="3005" w:type="dxa"/>
          </w:tcPr>
          <w:p>
            <w:pPr>
              <w:pStyle w:val="0"/>
              <w:jc w:val="center"/>
            </w:pPr>
            <w:r>
              <w:rPr>
                <w:sz w:val="20"/>
              </w:rPr>
              <w:t xml:space="preserve">Не более 300 тыс. рублей/1 чел. в Российской Федерации и не более 500 тыс. рублей/1 чел. за рубежом</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9</w:t>
            </w:r>
          </w:p>
        </w:tc>
        <w:tc>
          <w:tcPr>
            <w:tcW w:w="4592" w:type="dxa"/>
          </w:tcPr>
          <w:p>
            <w:pPr>
              <w:pStyle w:val="0"/>
            </w:pPr>
            <w:r>
              <w:rPr>
                <w:sz w:val="20"/>
              </w:rPr>
              <w:t xml:space="preserve">Иные услуги и меры поддержки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молодежного инновационного творчества (далее - ЦМИТ)</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Организационные расходы ЦМИТ</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Амортизация оборудования, закупка дополнительных материалов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Приобретение основного (обязательного) комплекта оборудования (3D принтер и сканер, прецезионный фрезерный станок с числовым программным управлением, станок лазерной резки, режущий плоттер, токарный станок с числовым программным управлением, оргтехника, ручной инструмент, комплект оборудования для работы с электронными компонентами, паяльная станция)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Приобретение дополнительного оборудования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Приобретение расходных материалов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Многофункциональный центр для бизнеса</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Доработка и (или) настройка автоматизированной информационной системы многофункциональных центров, центра телефонного обслуживания для организации предоставления услуг субъектам МСП и гражданам, планирующим начать предпринимательскую деятельность</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Создание, доработка и (или) настройка сайта (сайтов) многофункциональных центров предоставления государственных и муниципальных услуг в сети "Интернет"</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Методическое, методологическое, информационно-технологическое обеспечение организации предоставления услуг субъектам МСП, а также гражданам, планирующим начать предпринимательскую деятельность (в том числе оплата услуг сторонних организаций и физических лиц)</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3.1</w:t>
            </w:r>
          </w:p>
        </w:tc>
        <w:tc>
          <w:tcPr>
            <w:tcW w:w="4592" w:type="dxa"/>
          </w:tcPr>
          <w:p>
            <w:pPr>
              <w:pStyle w:val="0"/>
            </w:pPr>
            <w:r>
              <w:rPr>
                <w:sz w:val="20"/>
              </w:rPr>
              <w:t xml:space="preserve">Разработка методических документов по порядку предоставления услуг и мер поддержки организаций инфраструктуры поддержки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3.2</w:t>
            </w:r>
          </w:p>
        </w:tc>
        <w:tc>
          <w:tcPr>
            <w:tcW w:w="4592" w:type="dxa"/>
          </w:tcPr>
          <w:p>
            <w:pPr>
              <w:pStyle w:val="0"/>
              <w:jc w:val="both"/>
            </w:pPr>
            <w:r>
              <w:rPr>
                <w:sz w:val="20"/>
              </w:rPr>
              <w:t xml:space="preserve">Организация обучения специалистов, осуществляющих взаимодействие с заявителями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Коворкинг в помещения центра "Мой бизнес"</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Создание коворкинга, расположенного в помещении центра "Мой бизнес"</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bl>
    <w:p>
      <w:pPr>
        <w:sectPr>
          <w:headerReference w:type="default" r:id="rId90"/>
          <w:headerReference w:type="first" r:id="rId90"/>
          <w:footerReference w:type="default" r:id="rId91"/>
          <w:footerReference w:type="first" r:id="rId9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Требованиям для реализации субъектами</w:t>
      </w:r>
    </w:p>
    <w:p>
      <w:pPr>
        <w:pStyle w:val="0"/>
        <w:jc w:val="right"/>
      </w:pPr>
      <w:r>
        <w:rPr>
          <w:sz w:val="20"/>
        </w:rPr>
        <w:t xml:space="preserve">Российской Федерации мероприятий</w:t>
      </w:r>
    </w:p>
    <w:p>
      <w:pPr>
        <w:pStyle w:val="0"/>
        <w:jc w:val="right"/>
      </w:pPr>
      <w:r>
        <w:rPr>
          <w:sz w:val="20"/>
        </w:rPr>
        <w:t xml:space="preserve">региональных проектов, обеспечивающих</w:t>
      </w:r>
    </w:p>
    <w:p>
      <w:pPr>
        <w:pStyle w:val="0"/>
        <w:jc w:val="right"/>
      </w:pPr>
      <w:r>
        <w:rPr>
          <w:sz w:val="20"/>
        </w:rPr>
        <w:t xml:space="preserve">достижение целей, показателей</w:t>
      </w:r>
    </w:p>
    <w:p>
      <w:pPr>
        <w:pStyle w:val="0"/>
        <w:jc w:val="right"/>
      </w:pPr>
      <w:r>
        <w:rPr>
          <w:sz w:val="20"/>
        </w:rPr>
        <w:t xml:space="preserve">и результатов федерального проекта "Малое</w:t>
      </w:r>
    </w:p>
    <w:p>
      <w:pPr>
        <w:pStyle w:val="0"/>
        <w:jc w:val="right"/>
      </w:pPr>
      <w:r>
        <w:rPr>
          <w:sz w:val="20"/>
        </w:rPr>
        <w:t xml:space="preserve">и среднее предпринимательство и поддержка</w:t>
      </w:r>
    </w:p>
    <w:p>
      <w:pPr>
        <w:pStyle w:val="0"/>
        <w:jc w:val="right"/>
      </w:pPr>
      <w:r>
        <w:rPr>
          <w:sz w:val="20"/>
        </w:rPr>
        <w:t xml:space="preserve">индивидуальной предпринимательской</w:t>
      </w:r>
    </w:p>
    <w:p>
      <w:pPr>
        <w:pStyle w:val="0"/>
        <w:jc w:val="right"/>
      </w:pPr>
      <w:r>
        <w:rPr>
          <w:sz w:val="20"/>
        </w:rPr>
        <w:t xml:space="preserve">инициативы", входящего в состав</w:t>
      </w:r>
    </w:p>
    <w:p>
      <w:pPr>
        <w:pStyle w:val="0"/>
        <w:jc w:val="right"/>
      </w:pPr>
      <w:r>
        <w:rPr>
          <w:sz w:val="20"/>
        </w:rPr>
        <w:t xml:space="preserve">национального проекта "Эффективная</w:t>
      </w:r>
    </w:p>
    <w:p>
      <w:pPr>
        <w:pStyle w:val="0"/>
        <w:jc w:val="right"/>
      </w:pPr>
      <w:r>
        <w:rPr>
          <w:sz w:val="20"/>
        </w:rPr>
        <w:t xml:space="preserve">и конкурентная экономика",</w:t>
      </w:r>
    </w:p>
    <w:p>
      <w:pPr>
        <w:pStyle w:val="0"/>
        <w:jc w:val="right"/>
      </w:pPr>
      <w:r>
        <w:rPr>
          <w:sz w:val="20"/>
        </w:rPr>
        <w:t xml:space="preserve">предусматривающим основные направления</w:t>
      </w:r>
    </w:p>
    <w:p>
      <w:pPr>
        <w:pStyle w:val="0"/>
        <w:jc w:val="right"/>
      </w:pPr>
      <w:r>
        <w:rPr>
          <w:sz w:val="20"/>
        </w:rPr>
        <w:t xml:space="preserve">расходов при реализации мероприятий,</w:t>
      </w:r>
    </w:p>
    <w:p>
      <w:pPr>
        <w:pStyle w:val="0"/>
        <w:jc w:val="right"/>
      </w:pPr>
      <w:r>
        <w:rPr>
          <w:sz w:val="20"/>
        </w:rPr>
        <w:t xml:space="preserve">ключевые показатели эффективности</w:t>
      </w:r>
    </w:p>
    <w:p>
      <w:pPr>
        <w:pStyle w:val="0"/>
        <w:jc w:val="right"/>
      </w:pPr>
      <w:r>
        <w:rPr>
          <w:sz w:val="20"/>
        </w:rPr>
        <w:t xml:space="preserve">реализации мероприятий, в том числе</w:t>
      </w:r>
    </w:p>
    <w:p>
      <w:pPr>
        <w:pStyle w:val="0"/>
        <w:jc w:val="right"/>
      </w:pPr>
      <w:r>
        <w:rPr>
          <w:sz w:val="20"/>
        </w:rPr>
        <w:t xml:space="preserve">требованиям к организациям, образующим</w:t>
      </w:r>
    </w:p>
    <w:p>
      <w:pPr>
        <w:pStyle w:val="0"/>
        <w:jc w:val="right"/>
      </w:pPr>
      <w:r>
        <w:rPr>
          <w:sz w:val="20"/>
        </w:rPr>
        <w:t xml:space="preserve">инфраструктуру поддержки субъектов малого</w:t>
      </w:r>
    </w:p>
    <w:p>
      <w:pPr>
        <w:pStyle w:val="0"/>
        <w:jc w:val="right"/>
      </w:pPr>
      <w:r>
        <w:rPr>
          <w:sz w:val="20"/>
        </w:rPr>
        <w:t xml:space="preserve">и среднего предпринимательства,</w:t>
      </w:r>
    </w:p>
    <w:p>
      <w:pPr>
        <w:pStyle w:val="0"/>
        <w:jc w:val="right"/>
      </w:pPr>
      <w:r>
        <w:rPr>
          <w:sz w:val="20"/>
        </w:rPr>
        <w:t xml:space="preserve">требованиям к государственным</w:t>
      </w:r>
    </w:p>
    <w:p>
      <w:pPr>
        <w:pStyle w:val="0"/>
        <w:jc w:val="right"/>
      </w:pPr>
      <w:r>
        <w:rPr>
          <w:sz w:val="20"/>
        </w:rPr>
        <w:t xml:space="preserve">(муниципальным) микрофинансовым</w:t>
      </w:r>
    </w:p>
    <w:p>
      <w:pPr>
        <w:pStyle w:val="0"/>
        <w:jc w:val="right"/>
      </w:pPr>
      <w:r>
        <w:rPr>
          <w:sz w:val="20"/>
        </w:rPr>
        <w:t xml:space="preserve">организациям и к их деятельности,</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27 марта 2025 г. N 195</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649"/>
        <w:gridCol w:w="4422"/>
      </w:tblGrid>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center"/>
            </w:pPr>
            <w:r>
              <w:rPr>
                <w:sz w:val="20"/>
              </w:rPr>
              <w:t xml:space="preserve">УТВЕРЖДАЮ</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tcW w:w="4422" w:type="dxa"/>
            <w:tcBorders>
              <w:top w:val="single" w:sz="4"/>
              <w:left w:val="nil"/>
              <w:bottom w:val="nil"/>
              <w:right w:val="nil"/>
            </w:tcBorders>
          </w:tcPr>
          <w:p>
            <w:pPr>
              <w:pStyle w:val="0"/>
              <w:jc w:val="center"/>
            </w:pPr>
            <w:r>
              <w:rPr>
                <w:sz w:val="20"/>
              </w:rPr>
              <w:t xml:space="preserve">(наименование должности руководителя уполномоченного органа субъекта Российской Федерации)</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tcW w:w="4422" w:type="dxa"/>
            <w:tcBorders>
              <w:top w:val="single" w:sz="4"/>
              <w:left w:val="nil"/>
              <w:bottom w:val="nil"/>
              <w:right w:val="nil"/>
            </w:tcBorders>
          </w:tcPr>
          <w:p>
            <w:pPr>
              <w:pStyle w:val="0"/>
              <w:jc w:val="center"/>
            </w:pPr>
            <w:r>
              <w:rPr>
                <w:sz w:val="20"/>
              </w:rPr>
              <w:t xml:space="preserve">(фамилия, имя)</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center"/>
            </w:pPr>
            <w:r>
              <w:rPr>
                <w:sz w:val="20"/>
              </w:rPr>
              <w:t xml:space="preserve">"__" _____________________ год</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right"/>
            </w:pPr>
            <w:r>
              <w:rPr>
                <w:sz w:val="20"/>
              </w:rPr>
              <w:t xml:space="preserve">м. п.</w:t>
            </w:r>
          </w:p>
        </w:tc>
      </w:tr>
    </w:tbl>
    <w:p>
      <w:pPr>
        <w:pStyle w:val="0"/>
        <w:ind w:firstLine="540"/>
        <w:jc w:val="both"/>
      </w:pPr>
      <w:r>
        <w:rPr>
          <w:sz w:val="20"/>
        </w:rPr>
      </w:r>
    </w:p>
    <w:bookmarkStart w:id="2181" w:name="P2181"/>
    <w:bookmarkEnd w:id="2181"/>
    <w:p>
      <w:pPr>
        <w:pStyle w:val="0"/>
        <w:jc w:val="center"/>
      </w:pPr>
      <w:r>
        <w:rPr>
          <w:sz w:val="20"/>
        </w:rPr>
        <w:t xml:space="preserve">Ключевые показатели</w:t>
      </w:r>
    </w:p>
    <w:p>
      <w:pPr>
        <w:pStyle w:val="0"/>
        <w:jc w:val="center"/>
      </w:pPr>
      <w:r>
        <w:rPr>
          <w:sz w:val="20"/>
        </w:rPr>
        <w:t xml:space="preserve">эффективности деятельности центра "Мой бизнес"</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5613"/>
        <w:gridCol w:w="1247"/>
        <w:gridCol w:w="849"/>
        <w:gridCol w:w="849"/>
      </w:tblGrid>
      <w:tr>
        <w:tc>
          <w:tcPr>
            <w:tcW w:w="510" w:type="dxa"/>
            <w:vMerge w:val="restart"/>
          </w:tcPr>
          <w:p>
            <w:pPr>
              <w:pStyle w:val="0"/>
              <w:jc w:val="center"/>
            </w:pPr>
            <w:r>
              <w:rPr>
                <w:sz w:val="20"/>
              </w:rPr>
              <w:t xml:space="preserve">N п/п</w:t>
            </w:r>
          </w:p>
        </w:tc>
        <w:tc>
          <w:tcPr>
            <w:tcW w:w="5613" w:type="dxa"/>
            <w:vMerge w:val="restart"/>
          </w:tcPr>
          <w:p>
            <w:pPr>
              <w:pStyle w:val="0"/>
              <w:jc w:val="center"/>
            </w:pPr>
            <w:r>
              <w:rPr>
                <w:sz w:val="20"/>
              </w:rPr>
              <w:t xml:space="preserve">Показатель</w:t>
            </w:r>
          </w:p>
        </w:tc>
        <w:tc>
          <w:tcPr>
            <w:tcW w:w="1247" w:type="dxa"/>
            <w:vMerge w:val="restart"/>
          </w:tcPr>
          <w:p>
            <w:pPr>
              <w:pStyle w:val="0"/>
              <w:jc w:val="center"/>
            </w:pPr>
            <w:r>
              <w:rPr>
                <w:sz w:val="20"/>
              </w:rPr>
              <w:t xml:space="preserve">Единица измерения</w:t>
            </w:r>
          </w:p>
        </w:tc>
        <w:tc>
          <w:tcPr>
            <w:gridSpan w:val="2"/>
            <w:tcW w:w="1698" w:type="dxa"/>
          </w:tcPr>
          <w:p>
            <w:pPr>
              <w:pStyle w:val="0"/>
              <w:jc w:val="center"/>
            </w:pPr>
            <w:r>
              <w:rPr>
                <w:sz w:val="20"/>
              </w:rPr>
              <w:t xml:space="preserve">20__ год (отчетный год)</w:t>
            </w:r>
          </w:p>
        </w:tc>
      </w:tr>
      <w:tr>
        <w:tc>
          <w:tcPr>
            <w:vMerge w:val="continue"/>
          </w:tcPr>
          <w:p/>
        </w:tc>
        <w:tc>
          <w:tcPr>
            <w:vMerge w:val="continue"/>
          </w:tcPr>
          <w:p/>
        </w:tc>
        <w:tc>
          <w:tcPr>
            <w:vMerge w:val="continue"/>
          </w:tcPr>
          <w:p/>
        </w:tc>
        <w:tc>
          <w:tcPr>
            <w:tcW w:w="849" w:type="dxa"/>
          </w:tcPr>
          <w:p>
            <w:pPr>
              <w:pStyle w:val="0"/>
              <w:jc w:val="center"/>
            </w:pPr>
            <w:r>
              <w:rPr>
                <w:sz w:val="20"/>
              </w:rPr>
              <w:t xml:space="preserve">план</w:t>
            </w:r>
          </w:p>
        </w:tc>
        <w:tc>
          <w:tcPr>
            <w:tcW w:w="849" w:type="dxa"/>
          </w:tcPr>
          <w:p>
            <w:pPr>
              <w:pStyle w:val="0"/>
              <w:jc w:val="center"/>
            </w:pPr>
            <w:r>
              <w:rPr>
                <w:sz w:val="20"/>
              </w:rPr>
              <w:t xml:space="preserve">факт</w:t>
            </w:r>
          </w:p>
        </w:tc>
      </w:tr>
      <w:tr>
        <w:tc>
          <w:tcPr>
            <w:tcW w:w="510" w:type="dxa"/>
          </w:tcPr>
          <w:p>
            <w:pPr>
              <w:pStyle w:val="0"/>
              <w:jc w:val="center"/>
            </w:pPr>
            <w:r>
              <w:rPr>
                <w:sz w:val="20"/>
              </w:rPr>
              <w:t xml:space="preserve">1</w:t>
            </w:r>
          </w:p>
        </w:tc>
        <w:tc>
          <w:tcPr>
            <w:tcW w:w="5613" w:type="dxa"/>
          </w:tcPr>
          <w:p>
            <w:pPr>
              <w:pStyle w:val="0"/>
              <w:jc w:val="center"/>
            </w:pPr>
            <w:r>
              <w:rPr>
                <w:sz w:val="20"/>
              </w:rPr>
              <w:t xml:space="preserve">2</w:t>
            </w:r>
          </w:p>
        </w:tc>
        <w:tc>
          <w:tcPr>
            <w:tcW w:w="1247" w:type="dxa"/>
          </w:tcPr>
          <w:p>
            <w:pPr>
              <w:pStyle w:val="0"/>
              <w:jc w:val="center"/>
            </w:pPr>
            <w:r>
              <w:rPr>
                <w:sz w:val="20"/>
              </w:rPr>
              <w:t xml:space="preserve">3</w:t>
            </w:r>
          </w:p>
        </w:tc>
        <w:tc>
          <w:tcPr>
            <w:gridSpan w:val="2"/>
            <w:tcW w:w="1698" w:type="dxa"/>
          </w:tcPr>
          <w:p>
            <w:pPr>
              <w:pStyle w:val="0"/>
              <w:jc w:val="center"/>
            </w:pPr>
            <w:r>
              <w:rPr>
                <w:sz w:val="20"/>
              </w:rPr>
              <w:t xml:space="preserve">4</w:t>
            </w:r>
          </w:p>
        </w:tc>
      </w:tr>
      <w:tr>
        <w:tc>
          <w:tcPr>
            <w:tcW w:w="510" w:type="dxa"/>
            <w:vAlign w:val="center"/>
          </w:tcPr>
          <w:p>
            <w:pPr>
              <w:pStyle w:val="0"/>
              <w:jc w:val="center"/>
            </w:pPr>
            <w:r>
              <w:rPr>
                <w:sz w:val="20"/>
              </w:rPr>
              <w:t xml:space="preserve">1</w:t>
            </w:r>
          </w:p>
        </w:tc>
        <w:tc>
          <w:tcPr>
            <w:tcW w:w="5613" w:type="dxa"/>
            <w:vAlign w:val="center"/>
          </w:tcPr>
          <w:p>
            <w:pPr>
              <w:pStyle w:val="0"/>
            </w:pPr>
            <w:r>
              <w:rPr>
                <w:sz w:val="20"/>
              </w:rPr>
              <w:t xml:space="preserve">Количество услуг, предоставленных субъектам малого и среднего предпринимательства (далее - МСП), и гражданам, желающим вести бизнес, в том числе:</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1.1</w:t>
            </w:r>
          </w:p>
        </w:tc>
        <w:tc>
          <w:tcPr>
            <w:tcW w:w="5613" w:type="dxa"/>
            <w:vAlign w:val="center"/>
          </w:tcPr>
          <w:p>
            <w:pPr>
              <w:pStyle w:val="0"/>
            </w:pPr>
            <w:r>
              <w:rPr>
                <w:sz w:val="20"/>
              </w:rPr>
              <w:t xml:space="preserve">Центром поддержки предпринимательства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1.2</w:t>
            </w:r>
          </w:p>
        </w:tc>
        <w:tc>
          <w:tcPr>
            <w:tcW w:w="5613" w:type="dxa"/>
            <w:vAlign w:val="center"/>
          </w:tcPr>
          <w:p>
            <w:pPr>
              <w:pStyle w:val="0"/>
            </w:pPr>
            <w:r>
              <w:rPr>
                <w:sz w:val="20"/>
              </w:rPr>
              <w:t xml:space="preserve">Центром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1.3</w:t>
            </w:r>
          </w:p>
        </w:tc>
        <w:tc>
          <w:tcPr>
            <w:tcW w:w="5613" w:type="dxa"/>
            <w:vAlign w:val="center"/>
          </w:tcPr>
          <w:p>
            <w:pPr>
              <w:pStyle w:val="0"/>
            </w:pPr>
            <w:r>
              <w:rPr>
                <w:sz w:val="20"/>
              </w:rPr>
              <w:t xml:space="preserve">Блоком развития инновационно-производственной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w:t>
            </w:r>
          </w:p>
        </w:tc>
        <w:tc>
          <w:tcPr>
            <w:tcW w:w="5613" w:type="dxa"/>
            <w:vAlign w:val="center"/>
          </w:tcPr>
          <w:p>
            <w:pPr>
              <w:pStyle w:val="0"/>
            </w:pPr>
            <w:r>
              <w:rPr>
                <w:sz w:val="20"/>
              </w:rPr>
              <w:t xml:space="preserve">Количество субъектов МСП, получивших государственную поддержку, в том числе:</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2.1</w:t>
            </w:r>
          </w:p>
        </w:tc>
        <w:tc>
          <w:tcPr>
            <w:tcW w:w="5613" w:type="dxa"/>
            <w:vAlign w:val="center"/>
          </w:tcPr>
          <w:p>
            <w:pPr>
              <w:pStyle w:val="0"/>
            </w:pPr>
            <w:r>
              <w:rPr>
                <w:sz w:val="20"/>
              </w:rPr>
              <w:t xml:space="preserve">Центра поддержки предпринимательства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2.2</w:t>
            </w:r>
          </w:p>
        </w:tc>
        <w:tc>
          <w:tcPr>
            <w:tcW w:w="5613" w:type="dxa"/>
            <w:vAlign w:val="center"/>
          </w:tcPr>
          <w:p>
            <w:pPr>
              <w:pStyle w:val="0"/>
            </w:pPr>
            <w:r>
              <w:rPr>
                <w:sz w:val="20"/>
              </w:rPr>
              <w:t xml:space="preserve">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2.3</w:t>
            </w:r>
          </w:p>
        </w:tc>
        <w:tc>
          <w:tcPr>
            <w:tcW w:w="5613" w:type="dxa"/>
            <w:vAlign w:val="center"/>
          </w:tcPr>
          <w:p>
            <w:pPr>
              <w:pStyle w:val="0"/>
            </w:pPr>
            <w:r>
              <w:rPr>
                <w:sz w:val="20"/>
              </w:rPr>
              <w:t xml:space="preserve">Блока развития инновационно-производственной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w:t>
            </w:r>
          </w:p>
        </w:tc>
        <w:tc>
          <w:tcPr>
            <w:tcW w:w="5613" w:type="dxa"/>
            <w:vAlign w:val="center"/>
          </w:tcPr>
          <w:p>
            <w:pPr>
              <w:pStyle w:val="0"/>
            </w:pPr>
            <w:r>
              <w:rPr>
                <w:sz w:val="20"/>
              </w:rPr>
              <w:t xml:space="preserve">Количество граждан, желающих вести бизнес, получивших государственную поддержку, в том числе:</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3.1</w:t>
            </w:r>
          </w:p>
        </w:tc>
        <w:tc>
          <w:tcPr>
            <w:tcW w:w="5613" w:type="dxa"/>
            <w:vAlign w:val="center"/>
          </w:tcPr>
          <w:p>
            <w:pPr>
              <w:pStyle w:val="0"/>
            </w:pPr>
            <w:r>
              <w:rPr>
                <w:sz w:val="20"/>
              </w:rPr>
              <w:t xml:space="preserve">Центра поддержки предпринимательства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3.2</w:t>
            </w:r>
          </w:p>
        </w:tc>
        <w:tc>
          <w:tcPr>
            <w:tcW w:w="5613" w:type="dxa"/>
            <w:vAlign w:val="center"/>
          </w:tcPr>
          <w:p>
            <w:pPr>
              <w:pStyle w:val="0"/>
            </w:pPr>
            <w:r>
              <w:rPr>
                <w:sz w:val="20"/>
              </w:rPr>
              <w:t xml:space="preserve">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4</w:t>
            </w:r>
          </w:p>
        </w:tc>
        <w:tc>
          <w:tcPr>
            <w:tcW w:w="5613" w:type="dxa"/>
            <w:vAlign w:val="center"/>
          </w:tcPr>
          <w:p>
            <w:pPr>
              <w:pStyle w:val="0"/>
            </w:pPr>
            <w:r>
              <w:rPr>
                <w:sz w:val="20"/>
              </w:rPr>
              <w:t xml:space="preserve">Количество созданных субъектов МСП из числа физических лиц, получивших государственную поддержку, в том числе:</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4.1</w:t>
            </w:r>
          </w:p>
        </w:tc>
        <w:tc>
          <w:tcPr>
            <w:tcW w:w="5613" w:type="dxa"/>
            <w:vAlign w:val="center"/>
          </w:tcPr>
          <w:p>
            <w:pPr>
              <w:pStyle w:val="0"/>
            </w:pPr>
            <w:r>
              <w:rPr>
                <w:sz w:val="20"/>
              </w:rPr>
              <w:t xml:space="preserve">Центра поддержки предпринимательства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4.2</w:t>
            </w:r>
          </w:p>
        </w:tc>
        <w:tc>
          <w:tcPr>
            <w:tcW w:w="5613" w:type="dxa"/>
            <w:vAlign w:val="center"/>
          </w:tcPr>
          <w:p>
            <w:pPr>
              <w:pStyle w:val="0"/>
            </w:pPr>
            <w:r>
              <w:rPr>
                <w:sz w:val="20"/>
              </w:rPr>
              <w:t xml:space="preserve">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w:t>
            </w:r>
          </w:p>
        </w:tc>
        <w:tc>
          <w:tcPr>
            <w:tcW w:w="5613" w:type="dxa"/>
            <w:vAlign w:val="center"/>
          </w:tcPr>
          <w:p>
            <w:pPr>
              <w:pStyle w:val="0"/>
            </w:pPr>
            <w:r>
              <w:rPr>
                <w:sz w:val="20"/>
              </w:rPr>
              <w:t xml:space="preserve">Количество созданных рабочих мест (включая вновь зарегистрированных индивидуальных предпринимателей) субъектами МСП, получившими государственную поддержку, в том числе:</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5.1</w:t>
            </w:r>
          </w:p>
        </w:tc>
        <w:tc>
          <w:tcPr>
            <w:tcW w:w="5613" w:type="dxa"/>
            <w:vAlign w:val="center"/>
          </w:tcPr>
          <w:p>
            <w:pPr>
              <w:pStyle w:val="0"/>
            </w:pPr>
            <w:r>
              <w:rPr>
                <w:sz w:val="20"/>
              </w:rPr>
              <w:t xml:space="preserve">Центра поддержки предпринимательства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5.2</w:t>
            </w:r>
          </w:p>
        </w:tc>
        <w:tc>
          <w:tcPr>
            <w:tcW w:w="5613" w:type="dxa"/>
            <w:vAlign w:val="center"/>
          </w:tcPr>
          <w:p>
            <w:pPr>
              <w:pStyle w:val="0"/>
            </w:pPr>
            <w:r>
              <w:rPr>
                <w:sz w:val="20"/>
              </w:rPr>
              <w:t xml:space="preserve">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5.3</w:t>
            </w:r>
          </w:p>
        </w:tc>
        <w:tc>
          <w:tcPr>
            <w:tcW w:w="5613" w:type="dxa"/>
            <w:vAlign w:val="center"/>
          </w:tcPr>
          <w:p>
            <w:pPr>
              <w:pStyle w:val="0"/>
            </w:pPr>
            <w:r>
              <w:rPr>
                <w:sz w:val="20"/>
              </w:rPr>
              <w:t xml:space="preserve">Блока развития инновационно-производственной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gridSpan w:val="5"/>
            <w:tcW w:w="9068" w:type="dxa"/>
            <w:vAlign w:val="center"/>
          </w:tcPr>
          <w:p>
            <w:pPr>
              <w:pStyle w:val="0"/>
              <w:outlineLvl w:val="2"/>
              <w:jc w:val="center"/>
            </w:pPr>
            <w:r>
              <w:rPr>
                <w:sz w:val="20"/>
              </w:rPr>
              <w:t xml:space="preserve">Ключевые показатели эффективности деятельности центра инноваций социальной сферы</w:t>
            </w:r>
          </w:p>
        </w:tc>
      </w:tr>
      <w:tr>
        <w:tc>
          <w:tcPr>
            <w:tcW w:w="510" w:type="dxa"/>
            <w:vAlign w:val="center"/>
          </w:tcPr>
          <w:p>
            <w:pPr>
              <w:pStyle w:val="0"/>
              <w:jc w:val="center"/>
            </w:pPr>
            <w:r>
              <w:rPr>
                <w:sz w:val="20"/>
              </w:rPr>
              <w:t xml:space="preserve">1</w:t>
            </w:r>
          </w:p>
        </w:tc>
        <w:tc>
          <w:tcPr>
            <w:tcW w:w="5613" w:type="dxa"/>
            <w:vAlign w:val="center"/>
          </w:tcPr>
          <w:p>
            <w:pPr>
              <w:pStyle w:val="0"/>
            </w:pPr>
            <w:r>
              <w:rPr>
                <w:sz w:val="20"/>
              </w:rPr>
              <w:t xml:space="preserve">Количество социальных предприятий (из реестра социальных предприятий), получивших государственную поддержку</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w:t>
            </w:r>
          </w:p>
        </w:tc>
        <w:tc>
          <w:tcPr>
            <w:tcW w:w="5613" w:type="dxa"/>
            <w:vAlign w:val="center"/>
          </w:tcPr>
          <w:p>
            <w:pPr>
              <w:pStyle w:val="0"/>
            </w:pPr>
            <w:r>
              <w:rPr>
                <w:sz w:val="20"/>
              </w:rPr>
              <w:t xml:space="preserve">Количество субъектов МСП, которые получили или подтвердили свой статус как социальное предприятие при поддержке 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w:t>
            </w:r>
          </w:p>
        </w:tc>
        <w:tc>
          <w:tcPr>
            <w:tcW w:w="5613" w:type="dxa"/>
            <w:vAlign w:val="center"/>
          </w:tcPr>
          <w:p>
            <w:pPr>
              <w:pStyle w:val="0"/>
            </w:pPr>
            <w:r>
              <w:rPr>
                <w:sz w:val="20"/>
              </w:rPr>
              <w:t xml:space="preserve">Количество социальных проектов, реализованных при поддержке 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gridSpan w:val="5"/>
            <w:tcW w:w="9068" w:type="dxa"/>
            <w:vAlign w:val="center"/>
          </w:tcPr>
          <w:p>
            <w:pPr>
              <w:pStyle w:val="0"/>
              <w:outlineLvl w:val="2"/>
              <w:jc w:val="center"/>
            </w:pPr>
            <w:r>
              <w:rPr>
                <w:sz w:val="20"/>
              </w:rPr>
              <w:t xml:space="preserve">Ключевые показатели эффективности деятельности многофункциональных центров для бизнеса</w:t>
            </w:r>
          </w:p>
        </w:tc>
      </w:tr>
      <w:tr>
        <w:tc>
          <w:tcPr>
            <w:tcW w:w="510" w:type="dxa"/>
            <w:vAlign w:val="center"/>
          </w:tcPr>
          <w:p>
            <w:pPr>
              <w:pStyle w:val="0"/>
              <w:jc w:val="center"/>
            </w:pPr>
            <w:r>
              <w:rPr>
                <w:sz w:val="20"/>
              </w:rPr>
              <w:t xml:space="preserve">1</w:t>
            </w:r>
          </w:p>
        </w:tc>
        <w:tc>
          <w:tcPr>
            <w:tcW w:w="5613" w:type="dxa"/>
            <w:vAlign w:val="center"/>
          </w:tcPr>
          <w:p>
            <w:pPr>
              <w:pStyle w:val="0"/>
            </w:pPr>
            <w:r>
              <w:rPr>
                <w:sz w:val="20"/>
              </w:rPr>
              <w:t xml:space="preserve">Количество окон многофункционального центра для бизнеса в помещении центра "Мой бизнес"</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w:t>
            </w:r>
          </w:p>
        </w:tc>
        <w:tc>
          <w:tcPr>
            <w:tcW w:w="5613" w:type="dxa"/>
            <w:vAlign w:val="center"/>
          </w:tcPr>
          <w:p>
            <w:pPr>
              <w:pStyle w:val="0"/>
            </w:pPr>
            <w:r>
              <w:rPr>
                <w:sz w:val="20"/>
              </w:rPr>
              <w:t xml:space="preserve">Количество видов услуг, предоставляемых в окнах многофункционального центра для бизнеса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w:t>
            </w:r>
          </w:p>
        </w:tc>
        <w:tc>
          <w:tcPr>
            <w:tcW w:w="5613" w:type="dxa"/>
            <w:vAlign w:val="center"/>
          </w:tcPr>
          <w:p>
            <w:pPr>
              <w:pStyle w:val="0"/>
            </w:pPr>
            <w:r>
              <w:rPr>
                <w:sz w:val="20"/>
              </w:rPr>
              <w:t xml:space="preserve">Количество услуг, предоставленных субъектам МСП и гражданам, желающих вести бизнес</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4</w:t>
            </w:r>
          </w:p>
        </w:tc>
        <w:tc>
          <w:tcPr>
            <w:tcW w:w="5613" w:type="dxa"/>
            <w:vAlign w:val="center"/>
          </w:tcPr>
          <w:p>
            <w:pPr>
              <w:pStyle w:val="0"/>
            </w:pPr>
            <w:r>
              <w:rPr>
                <w:sz w:val="20"/>
              </w:rPr>
              <w:t xml:space="preserve">Количество субъектов МСП и физических лиц, желающих вести бизнес, получивших государственную поддержку</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w:t>
            </w:r>
          </w:p>
        </w:tc>
        <w:tc>
          <w:tcPr>
            <w:tcW w:w="5613" w:type="dxa"/>
            <w:vAlign w:val="center"/>
          </w:tcPr>
          <w:p>
            <w:pPr>
              <w:pStyle w:val="0"/>
            </w:pPr>
            <w:r>
              <w:rPr>
                <w:sz w:val="20"/>
              </w:rPr>
              <w:t xml:space="preserve">Количество созданных субъектов малого и среднего предпринимательства из числа физических лиц, получивших государственную поддержку</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gridSpan w:val="5"/>
            <w:tcW w:w="9068" w:type="dxa"/>
            <w:vAlign w:val="center"/>
          </w:tcPr>
          <w:p>
            <w:pPr>
              <w:pStyle w:val="0"/>
              <w:outlineLvl w:val="2"/>
              <w:jc w:val="center"/>
            </w:pPr>
            <w:r>
              <w:rPr>
                <w:sz w:val="20"/>
              </w:rPr>
              <w:t xml:space="preserve">Ключевые показатели эффективности деятельности блока развития инновационно-производственной сферы</w:t>
            </w:r>
          </w:p>
        </w:tc>
      </w:tr>
      <w:tr>
        <w:tc>
          <w:tcPr>
            <w:tcW w:w="510" w:type="dxa"/>
            <w:vAlign w:val="center"/>
          </w:tcPr>
          <w:p>
            <w:pPr>
              <w:pStyle w:val="0"/>
              <w:jc w:val="center"/>
            </w:pPr>
            <w:r>
              <w:rPr>
                <w:sz w:val="20"/>
              </w:rPr>
              <w:t xml:space="preserve">1</w:t>
            </w:r>
          </w:p>
        </w:tc>
        <w:tc>
          <w:tcPr>
            <w:tcW w:w="5613" w:type="dxa"/>
            <w:vAlign w:val="center"/>
          </w:tcPr>
          <w:p>
            <w:pPr>
              <w:pStyle w:val="0"/>
            </w:pPr>
            <w:r>
              <w:rPr>
                <w:sz w:val="20"/>
              </w:rPr>
              <w:t xml:space="preserve">Количество субъектов МСП, которым предоставлены инженерно-консультационные, проектно-конструкторские и расчетно-аналитические, а также иные услуги, в том числе с использованием оборудования и программного обеспечения на базе центра развития инновационно-производственной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w:t>
            </w:r>
          </w:p>
        </w:tc>
        <w:tc>
          <w:tcPr>
            <w:tcW w:w="5613" w:type="dxa"/>
            <w:vAlign w:val="center"/>
          </w:tcPr>
          <w:p>
            <w:pPr>
              <w:pStyle w:val="0"/>
            </w:pPr>
            <w:r>
              <w:rPr>
                <w:sz w:val="20"/>
              </w:rPr>
              <w:t xml:space="preserve">Общий объем возмездных работ (услуг), выполненных (оказанных) центром развития инновационно-производственной сферы</w:t>
            </w:r>
          </w:p>
        </w:tc>
        <w:tc>
          <w:tcPr>
            <w:tcW w:w="1247" w:type="dxa"/>
            <w:vAlign w:val="center"/>
          </w:tcPr>
          <w:p>
            <w:pPr>
              <w:pStyle w:val="0"/>
              <w:jc w:val="center"/>
            </w:pPr>
            <w:r>
              <w:rPr>
                <w:sz w:val="20"/>
              </w:rPr>
              <w:t xml:space="preserve">тыс. рублей</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w:t>
            </w:r>
          </w:p>
        </w:tc>
        <w:tc>
          <w:tcPr>
            <w:tcW w:w="5613" w:type="dxa"/>
            <w:vAlign w:val="center"/>
          </w:tcPr>
          <w:p>
            <w:pPr>
              <w:pStyle w:val="0"/>
            </w:pPr>
            <w:r>
              <w:rPr>
                <w:sz w:val="20"/>
              </w:rPr>
              <w:t xml:space="preserve">Количество услуг, оказанных блоком развития инновационно-производственной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4</w:t>
            </w:r>
          </w:p>
        </w:tc>
        <w:tc>
          <w:tcPr>
            <w:tcW w:w="5613" w:type="dxa"/>
            <w:vAlign w:val="center"/>
          </w:tcPr>
          <w:p>
            <w:pPr>
              <w:pStyle w:val="0"/>
            </w:pPr>
            <w:r>
              <w:rPr>
                <w:sz w:val="20"/>
              </w:rPr>
              <w:t xml:space="preserve">Коэффициент загрузки оборудования и (или) программного обеспечения центром развития инновационно-производственной сферы (коллективного пользования) (со второго года центра в случае, если в рамках использования субсидии предусмотрена закупка оборудования и (или) программного обеспечения</w:t>
            </w:r>
          </w:p>
        </w:tc>
        <w:tc>
          <w:tcPr>
            <w:tcW w:w="1247" w:type="dxa"/>
            <w:vAlign w:val="center"/>
          </w:tcPr>
          <w:p>
            <w:pPr>
              <w:pStyle w:val="0"/>
              <w:jc w:val="center"/>
            </w:pPr>
            <w:r>
              <w:rPr>
                <w:sz w:val="20"/>
              </w:rPr>
              <w:t xml:space="preserve">%</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w:t>
            </w:r>
          </w:p>
        </w:tc>
        <w:tc>
          <w:tcPr>
            <w:tcW w:w="5613" w:type="dxa"/>
            <w:vAlign w:val="center"/>
          </w:tcPr>
          <w:p>
            <w:pPr>
              <w:pStyle w:val="0"/>
            </w:pPr>
            <w:r>
              <w:rPr>
                <w:sz w:val="20"/>
              </w:rPr>
              <w:t xml:space="preserve">Коэффициент реального роста дохода на одного работника субъектов МСП, которым оказаны услуги центром развития инновационно-производственной сферы</w:t>
            </w:r>
          </w:p>
        </w:tc>
        <w:tc>
          <w:tcPr>
            <w:tcW w:w="1247" w:type="dxa"/>
            <w:vAlign w:val="center"/>
          </w:tcPr>
          <w:p>
            <w:pPr>
              <w:pStyle w:val="0"/>
              <w:jc w:val="center"/>
            </w:pPr>
            <w:r>
              <w:rPr>
                <w:sz w:val="20"/>
              </w:rPr>
              <w:t xml:space="preserve">%</w:t>
            </w:r>
          </w:p>
        </w:tc>
        <w:tc>
          <w:tcPr>
            <w:tcW w:w="849" w:type="dxa"/>
          </w:tcPr>
          <w:p>
            <w:pPr>
              <w:pStyle w:val="0"/>
            </w:pPr>
            <w:r>
              <w:rPr>
                <w:sz w:val="20"/>
              </w:rPr>
            </w:r>
          </w:p>
        </w:tc>
        <w:tc>
          <w:tcPr>
            <w:tcW w:w="849" w:type="dxa"/>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Требованиям для реализации субъектами</w:t>
      </w:r>
    </w:p>
    <w:p>
      <w:pPr>
        <w:pStyle w:val="0"/>
        <w:jc w:val="right"/>
      </w:pPr>
      <w:r>
        <w:rPr>
          <w:sz w:val="20"/>
        </w:rPr>
        <w:t xml:space="preserve">Российской Федерации мероприятий</w:t>
      </w:r>
    </w:p>
    <w:p>
      <w:pPr>
        <w:pStyle w:val="0"/>
        <w:jc w:val="right"/>
      </w:pPr>
      <w:r>
        <w:rPr>
          <w:sz w:val="20"/>
        </w:rPr>
        <w:t xml:space="preserve">региональных проектов, обеспечивающих</w:t>
      </w:r>
    </w:p>
    <w:p>
      <w:pPr>
        <w:pStyle w:val="0"/>
        <w:jc w:val="right"/>
      </w:pPr>
      <w:r>
        <w:rPr>
          <w:sz w:val="20"/>
        </w:rPr>
        <w:t xml:space="preserve">достижение целей, показателей</w:t>
      </w:r>
    </w:p>
    <w:p>
      <w:pPr>
        <w:pStyle w:val="0"/>
        <w:jc w:val="right"/>
      </w:pPr>
      <w:r>
        <w:rPr>
          <w:sz w:val="20"/>
        </w:rPr>
        <w:t xml:space="preserve">и результатов федерального проекта "Малое</w:t>
      </w:r>
    </w:p>
    <w:p>
      <w:pPr>
        <w:pStyle w:val="0"/>
        <w:jc w:val="right"/>
      </w:pPr>
      <w:r>
        <w:rPr>
          <w:sz w:val="20"/>
        </w:rPr>
        <w:t xml:space="preserve">и среднее предпринимательство и поддержка</w:t>
      </w:r>
    </w:p>
    <w:p>
      <w:pPr>
        <w:pStyle w:val="0"/>
        <w:jc w:val="right"/>
      </w:pPr>
      <w:r>
        <w:rPr>
          <w:sz w:val="20"/>
        </w:rPr>
        <w:t xml:space="preserve">индивидуальной предпринимательской</w:t>
      </w:r>
    </w:p>
    <w:p>
      <w:pPr>
        <w:pStyle w:val="0"/>
        <w:jc w:val="right"/>
      </w:pPr>
      <w:r>
        <w:rPr>
          <w:sz w:val="20"/>
        </w:rPr>
        <w:t xml:space="preserve">инициативы", входящего в состав</w:t>
      </w:r>
    </w:p>
    <w:p>
      <w:pPr>
        <w:pStyle w:val="0"/>
        <w:jc w:val="right"/>
      </w:pPr>
      <w:r>
        <w:rPr>
          <w:sz w:val="20"/>
        </w:rPr>
        <w:t xml:space="preserve">национального проекта "Эффективная</w:t>
      </w:r>
    </w:p>
    <w:p>
      <w:pPr>
        <w:pStyle w:val="0"/>
        <w:jc w:val="right"/>
      </w:pPr>
      <w:r>
        <w:rPr>
          <w:sz w:val="20"/>
        </w:rPr>
        <w:t xml:space="preserve">и конкурентная экономика",</w:t>
      </w:r>
    </w:p>
    <w:p>
      <w:pPr>
        <w:pStyle w:val="0"/>
        <w:jc w:val="right"/>
      </w:pPr>
      <w:r>
        <w:rPr>
          <w:sz w:val="20"/>
        </w:rPr>
        <w:t xml:space="preserve">предусматривающим основные направления</w:t>
      </w:r>
    </w:p>
    <w:p>
      <w:pPr>
        <w:pStyle w:val="0"/>
        <w:jc w:val="right"/>
      </w:pPr>
      <w:r>
        <w:rPr>
          <w:sz w:val="20"/>
        </w:rPr>
        <w:t xml:space="preserve">расходов при реализации мероприятий,</w:t>
      </w:r>
    </w:p>
    <w:p>
      <w:pPr>
        <w:pStyle w:val="0"/>
        <w:jc w:val="right"/>
      </w:pPr>
      <w:r>
        <w:rPr>
          <w:sz w:val="20"/>
        </w:rPr>
        <w:t xml:space="preserve">ключевые показатели эффективности</w:t>
      </w:r>
    </w:p>
    <w:p>
      <w:pPr>
        <w:pStyle w:val="0"/>
        <w:jc w:val="right"/>
      </w:pPr>
      <w:r>
        <w:rPr>
          <w:sz w:val="20"/>
        </w:rPr>
        <w:t xml:space="preserve">реализации мероприятий, в том числе</w:t>
      </w:r>
    </w:p>
    <w:p>
      <w:pPr>
        <w:pStyle w:val="0"/>
        <w:jc w:val="right"/>
      </w:pPr>
      <w:r>
        <w:rPr>
          <w:sz w:val="20"/>
        </w:rPr>
        <w:t xml:space="preserve">требованиям к организациям, образующим</w:t>
      </w:r>
    </w:p>
    <w:p>
      <w:pPr>
        <w:pStyle w:val="0"/>
        <w:jc w:val="right"/>
      </w:pPr>
      <w:r>
        <w:rPr>
          <w:sz w:val="20"/>
        </w:rPr>
        <w:t xml:space="preserve">инфраструктуру поддержки субъектов малого</w:t>
      </w:r>
    </w:p>
    <w:p>
      <w:pPr>
        <w:pStyle w:val="0"/>
        <w:jc w:val="right"/>
      </w:pPr>
      <w:r>
        <w:rPr>
          <w:sz w:val="20"/>
        </w:rPr>
        <w:t xml:space="preserve">и среднего предпринимательства,</w:t>
      </w:r>
    </w:p>
    <w:p>
      <w:pPr>
        <w:pStyle w:val="0"/>
        <w:jc w:val="right"/>
      </w:pPr>
      <w:r>
        <w:rPr>
          <w:sz w:val="20"/>
        </w:rPr>
        <w:t xml:space="preserve">требованиям к государственным</w:t>
      </w:r>
    </w:p>
    <w:p>
      <w:pPr>
        <w:pStyle w:val="0"/>
        <w:jc w:val="right"/>
      </w:pPr>
      <w:r>
        <w:rPr>
          <w:sz w:val="20"/>
        </w:rPr>
        <w:t xml:space="preserve">(муниципальным) микрофинансовым</w:t>
      </w:r>
    </w:p>
    <w:p>
      <w:pPr>
        <w:pStyle w:val="0"/>
        <w:jc w:val="right"/>
      </w:pPr>
      <w:r>
        <w:rPr>
          <w:sz w:val="20"/>
        </w:rPr>
        <w:t xml:space="preserve">организациям и к их деятельности,</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27 марта 2025 г. N 195</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p>
      <w:pPr>
        <w:pStyle w:val="1"/>
        <w:jc w:val="both"/>
      </w:pPr>
      <w:r>
        <w:rPr>
          <w:sz w:val="20"/>
        </w:rPr>
        <w:t xml:space="preserve">                                               Министерство экономического</w:t>
      </w:r>
    </w:p>
    <w:p>
      <w:pPr>
        <w:pStyle w:val="1"/>
        <w:jc w:val="both"/>
      </w:pPr>
      <w:r>
        <w:rPr>
          <w:sz w:val="20"/>
        </w:rPr>
        <w:t xml:space="preserve">                                              развития Российской Федерации</w:t>
      </w:r>
    </w:p>
    <w:p>
      <w:pPr>
        <w:pStyle w:val="1"/>
        <w:jc w:val="both"/>
      </w:pPr>
      <w:r>
        <w:rPr>
          <w:sz w:val="20"/>
        </w:rPr>
      </w:r>
    </w:p>
    <w:bookmarkStart w:id="2387" w:name="P2387"/>
    <w:bookmarkEnd w:id="2387"/>
    <w:p>
      <w:pPr>
        <w:pStyle w:val="1"/>
        <w:jc w:val="both"/>
      </w:pPr>
      <w:r>
        <w:rPr>
          <w:sz w:val="20"/>
        </w:rPr>
        <w:t xml:space="preserve">                                  ЗАЯВКА</w:t>
      </w:r>
    </w:p>
    <w:p>
      <w:pPr>
        <w:pStyle w:val="1"/>
        <w:jc w:val="both"/>
      </w:pPr>
      <w:r>
        <w:rPr>
          <w:sz w:val="20"/>
        </w:rPr>
        <w:t xml:space="preserve">          на проект по созданию и (или) развитию индустриального</w:t>
      </w:r>
    </w:p>
    <w:p>
      <w:pPr>
        <w:pStyle w:val="1"/>
        <w:jc w:val="both"/>
      </w:pPr>
      <w:r>
        <w:rPr>
          <w:sz w:val="20"/>
        </w:rPr>
        <w:t xml:space="preserve">              (промышленного) парка, агропромышленного парка,</w:t>
      </w:r>
    </w:p>
    <w:p>
      <w:pPr>
        <w:pStyle w:val="1"/>
        <w:jc w:val="both"/>
      </w:pPr>
      <w:r>
        <w:rPr>
          <w:sz w:val="20"/>
        </w:rPr>
        <w:t xml:space="preserve">           бизнес-парка, технопарка или промышленного технопарка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проекта по созданию и (или) развитию</w:t>
      </w:r>
    </w:p>
    <w:p>
      <w:pPr>
        <w:pStyle w:val="1"/>
        <w:jc w:val="both"/>
      </w:pPr>
      <w:r>
        <w:rPr>
          <w:sz w:val="20"/>
        </w:rPr>
        <w:t xml:space="preserve">         индустриального (промышленного) парка, агропромышленного</w:t>
      </w:r>
    </w:p>
    <w:p>
      <w:pPr>
        <w:pStyle w:val="1"/>
        <w:jc w:val="both"/>
      </w:pPr>
      <w:r>
        <w:rPr>
          <w:sz w:val="20"/>
        </w:rPr>
        <w:t xml:space="preserve">        парка, бизнес-парка, технопарка, промышленного технопарка.</w:t>
      </w:r>
    </w:p>
    <w:p>
      <w:pPr>
        <w:pStyle w:val="1"/>
        <w:jc w:val="both"/>
      </w:pPr>
      <w:r>
        <w:rPr>
          <w:sz w:val="20"/>
        </w:rPr>
        <w:t xml:space="preserve">           При реализации больше чем одного проекта по созданию</w:t>
      </w:r>
    </w:p>
    <w:p>
      <w:pPr>
        <w:pStyle w:val="1"/>
        <w:jc w:val="both"/>
      </w:pPr>
      <w:r>
        <w:rPr>
          <w:sz w:val="20"/>
        </w:rPr>
        <w:t xml:space="preserve">          и (или) развитию индустриального (промышленного) парка,</w:t>
      </w:r>
    </w:p>
    <w:p>
      <w:pPr>
        <w:pStyle w:val="1"/>
        <w:jc w:val="both"/>
      </w:pPr>
      <w:r>
        <w:rPr>
          <w:sz w:val="20"/>
        </w:rPr>
        <w:t xml:space="preserve">            агропромышленного парка, бизнес-парка, технопарка,</w:t>
      </w:r>
    </w:p>
    <w:p>
      <w:pPr>
        <w:pStyle w:val="1"/>
        <w:jc w:val="both"/>
      </w:pPr>
      <w:r>
        <w:rPr>
          <w:sz w:val="20"/>
        </w:rPr>
        <w:t xml:space="preserve">         промышленного технопарка в субъекте Российской Федерации</w:t>
      </w:r>
    </w:p>
    <w:p>
      <w:pPr>
        <w:pStyle w:val="1"/>
        <w:jc w:val="both"/>
      </w:pPr>
      <w:r>
        <w:rPr>
          <w:sz w:val="20"/>
        </w:rPr>
        <w:t xml:space="preserve">              заявка направляется отдельно на каждый проект)</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предполагаемая сумма субсидии на реализацию проекта</w:t>
      </w:r>
    </w:p>
    <w:p>
      <w:pPr>
        <w:pStyle w:val="1"/>
        <w:jc w:val="both"/>
      </w:pPr>
      <w:r>
        <w:rPr>
          <w:sz w:val="20"/>
        </w:rPr>
        <w:t xml:space="preserve">       по созданию и (или) развитию индустриального (промышленного)</w:t>
      </w:r>
    </w:p>
    <w:p>
      <w:pPr>
        <w:pStyle w:val="1"/>
        <w:jc w:val="both"/>
      </w:pPr>
      <w:r>
        <w:rPr>
          <w:sz w:val="20"/>
        </w:rPr>
        <w:t xml:space="preserve">         парка, агропромышленного парка, бизнес-парка, технопарка,</w:t>
      </w:r>
    </w:p>
    <w:p>
      <w:pPr>
        <w:pStyle w:val="1"/>
        <w:jc w:val="both"/>
      </w:pPr>
      <w:r>
        <w:rPr>
          <w:sz w:val="20"/>
        </w:rPr>
        <w:t xml:space="preserve">                  промышленного технопарка (млн. рублей)</w:t>
      </w:r>
    </w:p>
    <w:p>
      <w:pPr>
        <w:pStyle w:val="1"/>
        <w:jc w:val="both"/>
      </w:pPr>
      <w:r>
        <w:rPr>
          <w:sz w:val="20"/>
        </w:rPr>
      </w:r>
    </w:p>
    <w:p>
      <w:pPr>
        <w:pStyle w:val="1"/>
        <w:jc w:val="both"/>
      </w:pPr>
      <w:r>
        <w:rPr>
          <w:sz w:val="20"/>
        </w:rPr>
        <w:t xml:space="preserve">    Обязуюсь обеспечить ввод в эксплуатацию _______________________________</w:t>
      </w:r>
    </w:p>
    <w:p>
      <w:pPr>
        <w:pStyle w:val="1"/>
        <w:jc w:val="both"/>
      </w:pPr>
      <w:r>
        <w:rPr>
          <w:sz w:val="20"/>
        </w:rPr>
        <w:t xml:space="preserve">            (наименование проекта по созданию и (или) развитию</w:t>
      </w:r>
    </w:p>
    <w:p>
      <w:pPr>
        <w:pStyle w:val="1"/>
        <w:jc w:val="both"/>
      </w:pPr>
      <w:r>
        <w:rPr>
          <w:sz w:val="20"/>
        </w:rPr>
        <w:t xml:space="preserve">         индустриального (промышленного) парка, агропромышленного</w:t>
      </w:r>
    </w:p>
    <w:p>
      <w:pPr>
        <w:pStyle w:val="1"/>
        <w:jc w:val="both"/>
      </w:pPr>
      <w:r>
        <w:rPr>
          <w:sz w:val="20"/>
        </w:rPr>
        <w:t xml:space="preserve">        парка, бизнес-парка, технопарка, промышленного технопарка)</w:t>
      </w:r>
    </w:p>
    <w:p>
      <w:pPr>
        <w:pStyle w:val="1"/>
        <w:jc w:val="both"/>
      </w:pPr>
      <w:r>
        <w:rPr>
          <w:sz w:val="20"/>
        </w:rPr>
      </w:r>
    </w:p>
    <w:p>
      <w:pPr>
        <w:pStyle w:val="1"/>
        <w:jc w:val="both"/>
      </w:pPr>
      <w:r>
        <w:rPr>
          <w:sz w:val="20"/>
        </w:rPr>
        <w:t xml:space="preserve">в  соответствии со сроком, установленным графиком выполнения мероприятия по</w:t>
      </w:r>
    </w:p>
    <w:p>
      <w:pPr>
        <w:pStyle w:val="1"/>
        <w:jc w:val="both"/>
      </w:pPr>
      <w:r>
        <w:rPr>
          <w:sz w:val="20"/>
        </w:rPr>
        <w:t xml:space="preserve">проектированию   и  (или)  строительству  (реконструкции,  в  том  числе  с</w:t>
      </w:r>
    </w:p>
    <w:p>
      <w:pPr>
        <w:pStyle w:val="1"/>
        <w:jc w:val="both"/>
      </w:pPr>
      <w:r>
        <w:rPr>
          <w:sz w:val="20"/>
        </w:rPr>
        <w:t xml:space="preserve">элементами  реставрации  техническому перевооружению) объектов капитального</w:t>
      </w:r>
    </w:p>
    <w:p>
      <w:pPr>
        <w:pStyle w:val="1"/>
        <w:jc w:val="both"/>
      </w:pPr>
      <w:r>
        <w:rPr>
          <w:sz w:val="20"/>
        </w:rPr>
        <w:t xml:space="preserve">строительства и (или) приобретению объектов недвижимого имущества.</w:t>
      </w:r>
    </w:p>
    <w:p>
      <w:pPr>
        <w:pStyle w:val="1"/>
        <w:jc w:val="both"/>
      </w:pPr>
      <w:r>
        <w:rPr>
          <w:sz w:val="20"/>
        </w:rPr>
        <w:t xml:space="preserve">    Обязуюсь  обеспечить  функционирование  и целевое назначение проекта по</w:t>
      </w:r>
    </w:p>
    <w:p>
      <w:pPr>
        <w:pStyle w:val="1"/>
        <w:jc w:val="both"/>
      </w:pPr>
      <w:r>
        <w:rPr>
          <w:sz w:val="20"/>
        </w:rPr>
        <w:t xml:space="preserve">созданию   и   (или)   развитию   индустриального   (промышленного)  парка,</w:t>
      </w:r>
    </w:p>
    <w:p>
      <w:pPr>
        <w:pStyle w:val="1"/>
        <w:jc w:val="both"/>
      </w:pPr>
      <w:r>
        <w:rPr>
          <w:sz w:val="20"/>
        </w:rPr>
        <w:t xml:space="preserve">агропромышленного    парка,    бизнес-парка,    технопарка,   промышленного</w:t>
      </w:r>
    </w:p>
    <w:p>
      <w:pPr>
        <w:pStyle w:val="1"/>
        <w:jc w:val="both"/>
      </w:pPr>
      <w:r>
        <w:rPr>
          <w:sz w:val="20"/>
        </w:rPr>
        <w:t xml:space="preserve">технопарка, в целях реализации которого предоставляется субсидия, в течение</w:t>
      </w:r>
    </w:p>
    <w:p>
      <w:pPr>
        <w:pStyle w:val="1"/>
        <w:jc w:val="both"/>
      </w:pPr>
      <w:r>
        <w:rPr>
          <w:sz w:val="20"/>
        </w:rPr>
        <w:t xml:space="preserve">10  лет  со  дня  их  создания  за  счет  субсидии,  и достижение следующих</w:t>
      </w:r>
    </w:p>
    <w:p>
      <w:pPr>
        <w:pStyle w:val="1"/>
        <w:jc w:val="both"/>
      </w:pPr>
      <w:r>
        <w:rPr>
          <w:sz w:val="20"/>
        </w:rPr>
        <w:t xml:space="preserve">показателей по проекту:</w:t>
      </w:r>
    </w:p>
    <w:p>
      <w:pPr>
        <w:pStyle w:val="1"/>
        <w:jc w:val="both"/>
      </w:pPr>
      <w:r>
        <w:rPr>
          <w:sz w:val="20"/>
        </w:rPr>
        <w:t xml:space="preserve">    1)    количество    резидентов    -   субъектов   малого   и   среднего</w:t>
      </w:r>
    </w:p>
    <w:p>
      <w:pPr>
        <w:pStyle w:val="1"/>
        <w:jc w:val="both"/>
      </w:pPr>
      <w:r>
        <w:rPr>
          <w:sz w:val="20"/>
        </w:rPr>
        <w:t xml:space="preserve">предпринимательства по годам (ед.):</w:t>
      </w:r>
    </w:p>
    <w:p>
      <w:pPr>
        <w:pStyle w:val="0"/>
        <w:ind w:firstLine="540"/>
        <w:jc w:val="both"/>
      </w:pPr>
      <w:r>
        <w:rPr>
          <w:sz w:val="20"/>
        </w:rPr>
      </w:r>
    </w:p>
    <w:tbl>
      <w:tblPr>
        <w:tblInd w:w="0" w:type="dxa"/>
        <w:tblLayout w:type="fixed"/>
        <w:tblBorders>
          <w:top w:val="single" w:sz="4"/>
          <w:left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0"/>
              </w:rPr>
              <w:t xml:space="preserve">n1</w:t>
            </w:r>
          </w:p>
        </w:tc>
        <w:tc>
          <w:tcPr>
            <w:tcW w:w="873" w:type="dxa"/>
            <w:vAlign w:val="bottom"/>
          </w:tcPr>
          <w:p>
            <w:pPr>
              <w:pStyle w:val="0"/>
              <w:jc w:val="center"/>
            </w:pPr>
            <w:r>
              <w:rPr>
                <w:sz w:val="20"/>
              </w:rPr>
              <w:t xml:space="preserve">n2</w:t>
            </w:r>
          </w:p>
        </w:tc>
        <w:tc>
          <w:tcPr>
            <w:tcW w:w="873" w:type="dxa"/>
            <w:vAlign w:val="bottom"/>
          </w:tcPr>
          <w:p>
            <w:pPr>
              <w:pStyle w:val="0"/>
              <w:jc w:val="center"/>
            </w:pPr>
            <w:r>
              <w:rPr>
                <w:sz w:val="20"/>
              </w:rPr>
              <w:t xml:space="preserve">n3</w:t>
            </w:r>
          </w:p>
        </w:tc>
        <w:tc>
          <w:tcPr>
            <w:tcW w:w="873" w:type="dxa"/>
            <w:vAlign w:val="bottom"/>
          </w:tcPr>
          <w:p>
            <w:pPr>
              <w:pStyle w:val="0"/>
              <w:jc w:val="center"/>
            </w:pPr>
            <w:r>
              <w:rPr>
                <w:sz w:val="20"/>
              </w:rPr>
              <w:t xml:space="preserve">n4</w:t>
            </w:r>
          </w:p>
        </w:tc>
        <w:tc>
          <w:tcPr>
            <w:tcW w:w="873" w:type="dxa"/>
            <w:vAlign w:val="bottom"/>
          </w:tcPr>
          <w:p>
            <w:pPr>
              <w:pStyle w:val="0"/>
              <w:jc w:val="center"/>
            </w:pPr>
            <w:r>
              <w:rPr>
                <w:sz w:val="20"/>
              </w:rPr>
              <w:t xml:space="preserve">n5</w:t>
            </w:r>
          </w:p>
        </w:tc>
        <w:tc>
          <w:tcPr>
            <w:tcW w:w="873" w:type="dxa"/>
            <w:vAlign w:val="bottom"/>
          </w:tcPr>
          <w:p>
            <w:pPr>
              <w:pStyle w:val="0"/>
              <w:jc w:val="center"/>
            </w:pPr>
            <w:r>
              <w:rPr>
                <w:sz w:val="20"/>
              </w:rPr>
              <w:t xml:space="preserve">n6</w:t>
            </w:r>
          </w:p>
        </w:tc>
        <w:tc>
          <w:tcPr>
            <w:tcW w:w="873" w:type="dxa"/>
            <w:vAlign w:val="bottom"/>
          </w:tcPr>
          <w:p>
            <w:pPr>
              <w:pStyle w:val="0"/>
              <w:jc w:val="center"/>
            </w:pPr>
            <w:r>
              <w:rPr>
                <w:sz w:val="20"/>
              </w:rPr>
              <w:t xml:space="preserve">n7</w:t>
            </w:r>
          </w:p>
        </w:tc>
        <w:tc>
          <w:tcPr>
            <w:tcW w:w="873" w:type="dxa"/>
            <w:vAlign w:val="bottom"/>
          </w:tcPr>
          <w:p>
            <w:pPr>
              <w:pStyle w:val="0"/>
              <w:jc w:val="center"/>
            </w:pPr>
            <w:r>
              <w:rPr>
                <w:sz w:val="20"/>
              </w:rPr>
              <w:t xml:space="preserve">n8</w:t>
            </w:r>
          </w:p>
        </w:tc>
        <w:tc>
          <w:tcPr>
            <w:tcW w:w="873" w:type="dxa"/>
            <w:vAlign w:val="bottom"/>
          </w:tcPr>
          <w:p>
            <w:pPr>
              <w:pStyle w:val="0"/>
              <w:jc w:val="center"/>
            </w:pPr>
            <w:r>
              <w:rPr>
                <w:sz w:val="20"/>
              </w:rPr>
              <w:t xml:space="preserve">n9</w:t>
            </w:r>
          </w:p>
        </w:tc>
        <w:tc>
          <w:tcPr>
            <w:tcW w:w="880" w:type="dxa"/>
            <w:vAlign w:val="bottom"/>
          </w:tcPr>
          <w:p>
            <w:pPr>
              <w:pStyle w:val="0"/>
              <w:jc w:val="center"/>
            </w:pPr>
            <w:r>
              <w:rPr>
                <w:sz w:val="20"/>
              </w:rPr>
              <w:t xml:space="preserve">n10</w:t>
            </w:r>
          </w:p>
        </w:tc>
        <w:tc>
          <w:tcPr>
            <w:tcW w:w="340" w:type="dxa"/>
            <w:tcBorders>
              <w:top w:val="nil"/>
              <w:bottom w:val="nil"/>
              <w:right w:val="nil"/>
            </w:tcBorders>
          </w:tcPr>
          <w:p>
            <w:pPr>
              <w:pStyle w:val="0"/>
            </w:pPr>
            <w:r>
              <w:rPr>
                <w:sz w:val="20"/>
              </w:rPr>
            </w:r>
          </w:p>
        </w:tc>
      </w:tr>
      <w:tr>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80" w:type="dxa"/>
          </w:tcPr>
          <w:p>
            <w:pPr>
              <w:pStyle w:val="0"/>
            </w:pPr>
            <w:r>
              <w:rPr>
                <w:sz w:val="20"/>
              </w:rPr>
            </w:r>
          </w:p>
        </w:tc>
        <w:tc>
          <w:tcPr>
            <w:tcW w:w="340" w:type="dxa"/>
            <w:tcBorders>
              <w:top w:val="nil"/>
              <w:bottom w:val="nil"/>
              <w:right w:val="nil"/>
            </w:tcBorders>
          </w:tcPr>
          <w:p>
            <w:pPr>
              <w:pStyle w:val="0"/>
              <w:jc w:val="both"/>
            </w:pPr>
            <w:r>
              <w:rPr>
                <w:sz w:val="20"/>
              </w:rPr>
              <w:t xml:space="preserve">;</w:t>
            </w:r>
          </w:p>
        </w:tc>
      </w:tr>
      <w:tr>
        <w:tblPrEx>
          <w:tblBorders>
            <w:left w:val="nil"/>
            <w:insideV w:val="nil"/>
            <w:insideH w:val="nil"/>
          </w:tblBorders>
        </w:tblPrEx>
        <w:tc>
          <w:tcPr>
            <w:gridSpan w:val="10"/>
            <w:tcW w:w="8737" w:type="dxa"/>
            <w:tcBorders>
              <w:bottom w:val="nil"/>
            </w:tcBorders>
          </w:tcPr>
          <w:p>
            <w:pPr>
              <w:pStyle w:val="0"/>
              <w:jc w:val="center"/>
            </w:pPr>
            <w:r>
              <w:rPr>
                <w:sz w:val="20"/>
              </w:rPr>
              <w:t xml:space="preserve">(где n1 - n10 - с 1 по 10 год соответственно с года ввода в эксплуатацию парка);</w:t>
            </w:r>
          </w:p>
        </w:tc>
        <w:tc>
          <w:tcPr>
            <w:tcW w:w="340" w:type="dxa"/>
            <w:tcBorders>
              <w:top w:val="nil"/>
              <w:bottom w:val="nil"/>
            </w:tcBorders>
          </w:tcPr>
          <w:p>
            <w:pPr>
              <w:pStyle w:val="0"/>
            </w:pPr>
            <w:r>
              <w:rPr>
                <w:sz w:val="20"/>
              </w:rPr>
            </w:r>
          </w:p>
        </w:tc>
      </w:tr>
    </w:tbl>
    <w:p>
      <w:pPr>
        <w:pStyle w:val="0"/>
        <w:ind w:firstLine="540"/>
        <w:jc w:val="both"/>
      </w:pPr>
      <w:r>
        <w:rPr>
          <w:sz w:val="20"/>
        </w:rPr>
      </w:r>
    </w:p>
    <w:p>
      <w:pPr>
        <w:pStyle w:val="1"/>
        <w:jc w:val="both"/>
      </w:pPr>
      <w:r>
        <w:rPr>
          <w:sz w:val="20"/>
        </w:rPr>
        <w:t xml:space="preserve">    2) количество рабочих мест, созданных резидентами - субъектами малого и</w:t>
      </w:r>
    </w:p>
    <w:p>
      <w:pPr>
        <w:pStyle w:val="1"/>
        <w:jc w:val="both"/>
      </w:pPr>
      <w:r>
        <w:rPr>
          <w:sz w:val="20"/>
        </w:rPr>
        <w:t xml:space="preserve">среднего предпринимательства (ед.):</w:t>
      </w:r>
    </w:p>
    <w:p>
      <w:pPr>
        <w:pStyle w:val="0"/>
        <w:ind w:firstLine="54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0"/>
              </w:rPr>
              <w:t xml:space="preserve">n1</w:t>
            </w:r>
          </w:p>
        </w:tc>
        <w:tc>
          <w:tcPr>
            <w:tcW w:w="873" w:type="dxa"/>
            <w:vAlign w:val="bottom"/>
          </w:tcPr>
          <w:p>
            <w:pPr>
              <w:pStyle w:val="0"/>
              <w:jc w:val="center"/>
            </w:pPr>
            <w:r>
              <w:rPr>
                <w:sz w:val="20"/>
              </w:rPr>
              <w:t xml:space="preserve">n2</w:t>
            </w:r>
          </w:p>
        </w:tc>
        <w:tc>
          <w:tcPr>
            <w:tcW w:w="873" w:type="dxa"/>
            <w:vAlign w:val="bottom"/>
          </w:tcPr>
          <w:p>
            <w:pPr>
              <w:pStyle w:val="0"/>
              <w:jc w:val="center"/>
            </w:pPr>
            <w:r>
              <w:rPr>
                <w:sz w:val="20"/>
              </w:rPr>
              <w:t xml:space="preserve">n3</w:t>
            </w:r>
          </w:p>
        </w:tc>
        <w:tc>
          <w:tcPr>
            <w:tcW w:w="873" w:type="dxa"/>
            <w:vAlign w:val="bottom"/>
          </w:tcPr>
          <w:p>
            <w:pPr>
              <w:pStyle w:val="0"/>
              <w:jc w:val="center"/>
            </w:pPr>
            <w:r>
              <w:rPr>
                <w:sz w:val="20"/>
              </w:rPr>
              <w:t xml:space="preserve">n4</w:t>
            </w:r>
          </w:p>
        </w:tc>
        <w:tc>
          <w:tcPr>
            <w:tcW w:w="873" w:type="dxa"/>
            <w:vAlign w:val="bottom"/>
          </w:tcPr>
          <w:p>
            <w:pPr>
              <w:pStyle w:val="0"/>
              <w:jc w:val="center"/>
            </w:pPr>
            <w:r>
              <w:rPr>
                <w:sz w:val="20"/>
              </w:rPr>
              <w:t xml:space="preserve">n5</w:t>
            </w:r>
          </w:p>
        </w:tc>
        <w:tc>
          <w:tcPr>
            <w:tcW w:w="873" w:type="dxa"/>
            <w:vAlign w:val="bottom"/>
          </w:tcPr>
          <w:p>
            <w:pPr>
              <w:pStyle w:val="0"/>
              <w:jc w:val="center"/>
            </w:pPr>
            <w:r>
              <w:rPr>
                <w:sz w:val="20"/>
              </w:rPr>
              <w:t xml:space="preserve">n6</w:t>
            </w:r>
          </w:p>
        </w:tc>
        <w:tc>
          <w:tcPr>
            <w:tcW w:w="873" w:type="dxa"/>
            <w:vAlign w:val="bottom"/>
          </w:tcPr>
          <w:p>
            <w:pPr>
              <w:pStyle w:val="0"/>
              <w:jc w:val="center"/>
            </w:pPr>
            <w:r>
              <w:rPr>
                <w:sz w:val="20"/>
              </w:rPr>
              <w:t xml:space="preserve">n7</w:t>
            </w:r>
          </w:p>
        </w:tc>
        <w:tc>
          <w:tcPr>
            <w:tcW w:w="873" w:type="dxa"/>
            <w:vAlign w:val="bottom"/>
          </w:tcPr>
          <w:p>
            <w:pPr>
              <w:pStyle w:val="0"/>
              <w:jc w:val="center"/>
            </w:pPr>
            <w:r>
              <w:rPr>
                <w:sz w:val="20"/>
              </w:rPr>
              <w:t xml:space="preserve">n8</w:t>
            </w:r>
          </w:p>
        </w:tc>
        <w:tc>
          <w:tcPr>
            <w:tcW w:w="873" w:type="dxa"/>
            <w:vAlign w:val="bottom"/>
          </w:tcPr>
          <w:p>
            <w:pPr>
              <w:pStyle w:val="0"/>
              <w:jc w:val="center"/>
            </w:pPr>
            <w:r>
              <w:rPr>
                <w:sz w:val="20"/>
              </w:rPr>
              <w:t xml:space="preserve">n9</w:t>
            </w:r>
          </w:p>
        </w:tc>
        <w:tc>
          <w:tcPr>
            <w:tcW w:w="880" w:type="dxa"/>
            <w:vAlign w:val="bottom"/>
          </w:tcPr>
          <w:p>
            <w:pPr>
              <w:pStyle w:val="0"/>
              <w:jc w:val="center"/>
            </w:pPr>
            <w:r>
              <w:rPr>
                <w:sz w:val="20"/>
              </w:rPr>
              <w:t xml:space="preserve">n10</w:t>
            </w:r>
          </w:p>
        </w:tc>
        <w:tc>
          <w:tcPr>
            <w:tcW w:w="340" w:type="dxa"/>
            <w:tcBorders>
              <w:top w:val="nil"/>
              <w:bottom w:val="nil"/>
              <w:right w:val="nil"/>
            </w:tcBorders>
          </w:tcPr>
          <w:p>
            <w:pPr>
              <w:pStyle w:val="0"/>
            </w:pPr>
            <w:r>
              <w:rPr>
                <w:sz w:val="20"/>
              </w:rPr>
            </w:r>
          </w:p>
        </w:tc>
      </w:tr>
      <w:tr>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80" w:type="dxa"/>
          </w:tcPr>
          <w:p>
            <w:pPr>
              <w:pStyle w:val="0"/>
            </w:pPr>
            <w:r>
              <w:rPr>
                <w:sz w:val="20"/>
              </w:rPr>
            </w:r>
          </w:p>
        </w:tc>
        <w:tc>
          <w:tcPr>
            <w:tcW w:w="340" w:type="dxa"/>
            <w:tcBorders>
              <w:top w:val="nil"/>
              <w:bottom w:val="nil"/>
              <w:right w:val="nil"/>
            </w:tcBorders>
          </w:tcPr>
          <w:p>
            <w:pPr>
              <w:pStyle w:val="0"/>
              <w:jc w:val="both"/>
            </w:pPr>
            <w:r>
              <w:rPr>
                <w:sz w:val="20"/>
              </w:rPr>
              <w:t xml:space="preserve">;</w:t>
            </w:r>
          </w:p>
        </w:tc>
      </w:tr>
    </w:tbl>
    <w:p>
      <w:pPr>
        <w:pStyle w:val="0"/>
        <w:ind w:firstLine="540"/>
        <w:jc w:val="both"/>
      </w:pPr>
      <w:r>
        <w:rPr>
          <w:sz w:val="20"/>
        </w:rPr>
      </w:r>
    </w:p>
    <w:p>
      <w:pPr>
        <w:pStyle w:val="1"/>
        <w:jc w:val="both"/>
      </w:pPr>
      <w:r>
        <w:rPr>
          <w:sz w:val="20"/>
        </w:rPr>
        <w:t xml:space="preserve">    3)   объем   внебюджетных   инвестиций   субъектов  малого  и  среднего</w:t>
      </w:r>
    </w:p>
    <w:p>
      <w:pPr>
        <w:pStyle w:val="1"/>
        <w:jc w:val="both"/>
      </w:pPr>
      <w:r>
        <w:rPr>
          <w:sz w:val="20"/>
        </w:rPr>
        <w:t xml:space="preserve">предпринимательства (млн руб):</w:t>
      </w:r>
    </w:p>
    <w:p>
      <w:pPr>
        <w:pStyle w:val="0"/>
        <w:ind w:firstLine="54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0"/>
              </w:rPr>
              <w:t xml:space="preserve">n1</w:t>
            </w:r>
          </w:p>
        </w:tc>
        <w:tc>
          <w:tcPr>
            <w:tcW w:w="873" w:type="dxa"/>
            <w:vAlign w:val="bottom"/>
          </w:tcPr>
          <w:p>
            <w:pPr>
              <w:pStyle w:val="0"/>
              <w:jc w:val="center"/>
            </w:pPr>
            <w:r>
              <w:rPr>
                <w:sz w:val="20"/>
              </w:rPr>
              <w:t xml:space="preserve">n2</w:t>
            </w:r>
          </w:p>
        </w:tc>
        <w:tc>
          <w:tcPr>
            <w:tcW w:w="873" w:type="dxa"/>
            <w:vAlign w:val="bottom"/>
          </w:tcPr>
          <w:p>
            <w:pPr>
              <w:pStyle w:val="0"/>
              <w:jc w:val="center"/>
            </w:pPr>
            <w:r>
              <w:rPr>
                <w:sz w:val="20"/>
              </w:rPr>
              <w:t xml:space="preserve">n3</w:t>
            </w:r>
          </w:p>
        </w:tc>
        <w:tc>
          <w:tcPr>
            <w:tcW w:w="873" w:type="dxa"/>
            <w:vAlign w:val="bottom"/>
          </w:tcPr>
          <w:p>
            <w:pPr>
              <w:pStyle w:val="0"/>
              <w:jc w:val="center"/>
            </w:pPr>
            <w:r>
              <w:rPr>
                <w:sz w:val="20"/>
              </w:rPr>
              <w:t xml:space="preserve">n4</w:t>
            </w:r>
          </w:p>
        </w:tc>
        <w:tc>
          <w:tcPr>
            <w:tcW w:w="873" w:type="dxa"/>
            <w:vAlign w:val="bottom"/>
          </w:tcPr>
          <w:p>
            <w:pPr>
              <w:pStyle w:val="0"/>
              <w:jc w:val="center"/>
            </w:pPr>
            <w:r>
              <w:rPr>
                <w:sz w:val="20"/>
              </w:rPr>
              <w:t xml:space="preserve">n5</w:t>
            </w:r>
          </w:p>
        </w:tc>
        <w:tc>
          <w:tcPr>
            <w:tcW w:w="873" w:type="dxa"/>
            <w:vAlign w:val="bottom"/>
          </w:tcPr>
          <w:p>
            <w:pPr>
              <w:pStyle w:val="0"/>
              <w:jc w:val="center"/>
            </w:pPr>
            <w:r>
              <w:rPr>
                <w:sz w:val="20"/>
              </w:rPr>
              <w:t xml:space="preserve">n6</w:t>
            </w:r>
          </w:p>
        </w:tc>
        <w:tc>
          <w:tcPr>
            <w:tcW w:w="873" w:type="dxa"/>
            <w:vAlign w:val="bottom"/>
          </w:tcPr>
          <w:p>
            <w:pPr>
              <w:pStyle w:val="0"/>
              <w:jc w:val="center"/>
            </w:pPr>
            <w:r>
              <w:rPr>
                <w:sz w:val="20"/>
              </w:rPr>
              <w:t xml:space="preserve">n7</w:t>
            </w:r>
          </w:p>
        </w:tc>
        <w:tc>
          <w:tcPr>
            <w:tcW w:w="873" w:type="dxa"/>
            <w:vAlign w:val="bottom"/>
          </w:tcPr>
          <w:p>
            <w:pPr>
              <w:pStyle w:val="0"/>
              <w:jc w:val="center"/>
            </w:pPr>
            <w:r>
              <w:rPr>
                <w:sz w:val="20"/>
              </w:rPr>
              <w:t xml:space="preserve">n8</w:t>
            </w:r>
          </w:p>
        </w:tc>
        <w:tc>
          <w:tcPr>
            <w:tcW w:w="873" w:type="dxa"/>
            <w:vAlign w:val="bottom"/>
          </w:tcPr>
          <w:p>
            <w:pPr>
              <w:pStyle w:val="0"/>
              <w:jc w:val="center"/>
            </w:pPr>
            <w:r>
              <w:rPr>
                <w:sz w:val="20"/>
              </w:rPr>
              <w:t xml:space="preserve">n9</w:t>
            </w:r>
          </w:p>
        </w:tc>
        <w:tc>
          <w:tcPr>
            <w:tcW w:w="880" w:type="dxa"/>
            <w:vAlign w:val="bottom"/>
          </w:tcPr>
          <w:p>
            <w:pPr>
              <w:pStyle w:val="0"/>
              <w:jc w:val="center"/>
            </w:pPr>
            <w:r>
              <w:rPr>
                <w:sz w:val="20"/>
              </w:rPr>
              <w:t xml:space="preserve">n10</w:t>
            </w:r>
          </w:p>
        </w:tc>
        <w:tc>
          <w:tcPr>
            <w:tcW w:w="340" w:type="dxa"/>
            <w:tcBorders>
              <w:top w:val="nil"/>
              <w:bottom w:val="nil"/>
              <w:right w:val="nil"/>
            </w:tcBorders>
          </w:tcPr>
          <w:p>
            <w:pPr>
              <w:pStyle w:val="0"/>
            </w:pPr>
            <w:r>
              <w:rPr>
                <w:sz w:val="20"/>
              </w:rPr>
            </w:r>
          </w:p>
        </w:tc>
      </w:tr>
      <w:tr>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80" w:type="dxa"/>
          </w:tcPr>
          <w:p>
            <w:pPr>
              <w:pStyle w:val="0"/>
            </w:pPr>
            <w:r>
              <w:rPr>
                <w:sz w:val="20"/>
              </w:rPr>
            </w:r>
          </w:p>
        </w:tc>
        <w:tc>
          <w:tcPr>
            <w:tcW w:w="340" w:type="dxa"/>
            <w:tcBorders>
              <w:top w:val="nil"/>
              <w:bottom w:val="nil"/>
              <w:right w:val="nil"/>
            </w:tcBorders>
          </w:tcPr>
          <w:p>
            <w:pPr>
              <w:pStyle w:val="0"/>
              <w:jc w:val="both"/>
            </w:pPr>
            <w:r>
              <w:rPr>
                <w:sz w:val="20"/>
              </w:rPr>
              <w:t xml:space="preserve">;</w:t>
            </w:r>
          </w:p>
        </w:tc>
      </w:tr>
    </w:tbl>
    <w:p>
      <w:pPr>
        <w:pStyle w:val="0"/>
        <w:ind w:firstLine="540"/>
        <w:jc w:val="both"/>
      </w:pPr>
      <w:r>
        <w:rPr>
          <w:sz w:val="20"/>
        </w:rPr>
      </w:r>
    </w:p>
    <w:p>
      <w:pPr>
        <w:pStyle w:val="1"/>
        <w:jc w:val="both"/>
      </w:pPr>
      <w:r>
        <w:rPr>
          <w:sz w:val="20"/>
        </w:rPr>
        <w:t xml:space="preserve">    4)  темп  роста  дохода  в  расчете  на  1  работника субъекта малого и</w:t>
      </w:r>
    </w:p>
    <w:p>
      <w:pPr>
        <w:pStyle w:val="1"/>
        <w:jc w:val="both"/>
      </w:pPr>
      <w:r>
        <w:rPr>
          <w:sz w:val="20"/>
        </w:rPr>
        <w:t xml:space="preserve">среднего предпринимательства (%):</w:t>
      </w:r>
    </w:p>
    <w:p>
      <w:pPr>
        <w:pStyle w:val="0"/>
        <w:ind w:firstLine="54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0"/>
              </w:rPr>
              <w:t xml:space="preserve">n1</w:t>
            </w:r>
          </w:p>
        </w:tc>
        <w:tc>
          <w:tcPr>
            <w:tcW w:w="873" w:type="dxa"/>
            <w:vAlign w:val="bottom"/>
          </w:tcPr>
          <w:p>
            <w:pPr>
              <w:pStyle w:val="0"/>
              <w:jc w:val="center"/>
            </w:pPr>
            <w:r>
              <w:rPr>
                <w:sz w:val="20"/>
              </w:rPr>
              <w:t xml:space="preserve">n2</w:t>
            </w:r>
          </w:p>
        </w:tc>
        <w:tc>
          <w:tcPr>
            <w:tcW w:w="873" w:type="dxa"/>
            <w:vAlign w:val="bottom"/>
          </w:tcPr>
          <w:p>
            <w:pPr>
              <w:pStyle w:val="0"/>
              <w:jc w:val="center"/>
            </w:pPr>
            <w:r>
              <w:rPr>
                <w:sz w:val="20"/>
              </w:rPr>
              <w:t xml:space="preserve">n3</w:t>
            </w:r>
          </w:p>
        </w:tc>
        <w:tc>
          <w:tcPr>
            <w:tcW w:w="873" w:type="dxa"/>
            <w:vAlign w:val="bottom"/>
          </w:tcPr>
          <w:p>
            <w:pPr>
              <w:pStyle w:val="0"/>
              <w:jc w:val="center"/>
            </w:pPr>
            <w:r>
              <w:rPr>
                <w:sz w:val="20"/>
              </w:rPr>
              <w:t xml:space="preserve">n4</w:t>
            </w:r>
          </w:p>
        </w:tc>
        <w:tc>
          <w:tcPr>
            <w:tcW w:w="873" w:type="dxa"/>
            <w:vAlign w:val="bottom"/>
          </w:tcPr>
          <w:p>
            <w:pPr>
              <w:pStyle w:val="0"/>
              <w:jc w:val="center"/>
            </w:pPr>
            <w:r>
              <w:rPr>
                <w:sz w:val="20"/>
              </w:rPr>
              <w:t xml:space="preserve">n5</w:t>
            </w:r>
          </w:p>
        </w:tc>
        <w:tc>
          <w:tcPr>
            <w:tcW w:w="873" w:type="dxa"/>
            <w:vAlign w:val="bottom"/>
          </w:tcPr>
          <w:p>
            <w:pPr>
              <w:pStyle w:val="0"/>
              <w:jc w:val="center"/>
            </w:pPr>
            <w:r>
              <w:rPr>
                <w:sz w:val="20"/>
              </w:rPr>
              <w:t xml:space="preserve">n6</w:t>
            </w:r>
          </w:p>
        </w:tc>
        <w:tc>
          <w:tcPr>
            <w:tcW w:w="873" w:type="dxa"/>
            <w:vAlign w:val="bottom"/>
          </w:tcPr>
          <w:p>
            <w:pPr>
              <w:pStyle w:val="0"/>
              <w:jc w:val="center"/>
            </w:pPr>
            <w:r>
              <w:rPr>
                <w:sz w:val="20"/>
              </w:rPr>
              <w:t xml:space="preserve">n7</w:t>
            </w:r>
          </w:p>
        </w:tc>
        <w:tc>
          <w:tcPr>
            <w:tcW w:w="873" w:type="dxa"/>
            <w:vAlign w:val="bottom"/>
          </w:tcPr>
          <w:p>
            <w:pPr>
              <w:pStyle w:val="0"/>
              <w:jc w:val="center"/>
            </w:pPr>
            <w:r>
              <w:rPr>
                <w:sz w:val="20"/>
              </w:rPr>
              <w:t xml:space="preserve">n8</w:t>
            </w:r>
          </w:p>
        </w:tc>
        <w:tc>
          <w:tcPr>
            <w:tcW w:w="873" w:type="dxa"/>
            <w:vAlign w:val="bottom"/>
          </w:tcPr>
          <w:p>
            <w:pPr>
              <w:pStyle w:val="0"/>
              <w:jc w:val="center"/>
            </w:pPr>
            <w:r>
              <w:rPr>
                <w:sz w:val="20"/>
              </w:rPr>
              <w:t xml:space="preserve">n9</w:t>
            </w:r>
          </w:p>
        </w:tc>
        <w:tc>
          <w:tcPr>
            <w:tcW w:w="880" w:type="dxa"/>
            <w:vAlign w:val="bottom"/>
          </w:tcPr>
          <w:p>
            <w:pPr>
              <w:pStyle w:val="0"/>
              <w:jc w:val="center"/>
            </w:pPr>
            <w:r>
              <w:rPr>
                <w:sz w:val="20"/>
              </w:rPr>
              <w:t xml:space="preserve">n10</w:t>
            </w:r>
          </w:p>
        </w:tc>
        <w:tc>
          <w:tcPr>
            <w:tcW w:w="340" w:type="dxa"/>
            <w:tcBorders>
              <w:top w:val="nil"/>
              <w:bottom w:val="nil"/>
              <w:right w:val="nil"/>
            </w:tcBorders>
          </w:tcPr>
          <w:p>
            <w:pPr>
              <w:pStyle w:val="0"/>
            </w:pPr>
            <w:r>
              <w:rPr>
                <w:sz w:val="20"/>
              </w:rPr>
            </w:r>
          </w:p>
        </w:tc>
      </w:tr>
      <w:tr>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80" w:type="dxa"/>
          </w:tcPr>
          <w:p>
            <w:pPr>
              <w:pStyle w:val="0"/>
            </w:pPr>
            <w:r>
              <w:rPr>
                <w:sz w:val="20"/>
              </w:rPr>
            </w:r>
          </w:p>
        </w:tc>
        <w:tc>
          <w:tcPr>
            <w:tcW w:w="340" w:type="dxa"/>
            <w:tcBorders>
              <w:top w:val="nil"/>
              <w:bottom w:val="nil"/>
              <w:right w:val="nil"/>
            </w:tcBorders>
          </w:tcPr>
          <w:p>
            <w:pPr>
              <w:pStyle w:val="0"/>
              <w:jc w:val="both"/>
            </w:pPr>
            <w:r>
              <w:rPr>
                <w:sz w:val="20"/>
              </w:rPr>
              <w:t xml:space="preserve">.</w:t>
            </w:r>
          </w:p>
        </w:tc>
      </w:tr>
    </w:tbl>
    <w:p>
      <w:pPr>
        <w:pStyle w:val="0"/>
        <w:ind w:firstLine="540"/>
        <w:jc w:val="both"/>
      </w:pPr>
      <w:r>
        <w:rPr>
          <w:sz w:val="20"/>
        </w:rPr>
      </w:r>
    </w:p>
    <w:p>
      <w:pPr>
        <w:pStyle w:val="1"/>
        <w:jc w:val="both"/>
      </w:pPr>
      <w:r>
        <w:rPr>
          <w:sz w:val="20"/>
        </w:rPr>
        <w:t xml:space="preserve">    Гарантирую,  что  управляющая  компания индустриального (промышленного)</w:t>
      </w:r>
    </w:p>
    <w:p>
      <w:pPr>
        <w:pStyle w:val="1"/>
        <w:jc w:val="both"/>
      </w:pPr>
      <w:r>
        <w:rPr>
          <w:sz w:val="20"/>
        </w:rPr>
        <w:t xml:space="preserve">парка,  агропромышленного парка, бизнес-парка, технопарка или промышленного</w:t>
      </w:r>
    </w:p>
    <w:p>
      <w:pPr>
        <w:pStyle w:val="1"/>
        <w:jc w:val="both"/>
      </w:pPr>
      <w:r>
        <w:rPr>
          <w:sz w:val="20"/>
        </w:rPr>
        <w:t xml:space="preserve">технопарка  не  состоят  в  одной  группе  лиц  с  потенциальными  и  (или)</w:t>
      </w:r>
    </w:p>
    <w:p>
      <w:pPr>
        <w:pStyle w:val="1"/>
        <w:jc w:val="both"/>
      </w:pPr>
      <w:r>
        <w:rPr>
          <w:sz w:val="20"/>
        </w:rPr>
        <w:t xml:space="preserve">действующими резидентами.</w:t>
      </w:r>
    </w:p>
    <w:p>
      <w:pPr>
        <w:pStyle w:val="1"/>
        <w:jc w:val="both"/>
      </w:pPr>
      <w:r>
        <w:rPr>
          <w:sz w:val="20"/>
        </w:rPr>
      </w:r>
    </w:p>
    <w:p>
      <w:pPr>
        <w:pStyle w:val="1"/>
        <w:jc w:val="both"/>
      </w:pPr>
      <w:r>
        <w:rPr>
          <w:sz w:val="20"/>
        </w:rPr>
        <w:t xml:space="preserve">_______________________________     _____________ _________________________</w:t>
      </w:r>
    </w:p>
    <w:p>
      <w:pPr>
        <w:pStyle w:val="1"/>
        <w:jc w:val="both"/>
      </w:pPr>
      <w:r>
        <w:rPr>
          <w:sz w:val="20"/>
        </w:rPr>
        <w:t xml:space="preserve">(наименование должность высшего       (подпись)    (фамилия, имя, отчество</w:t>
      </w:r>
    </w:p>
    <w:p>
      <w:pPr>
        <w:pStyle w:val="1"/>
        <w:jc w:val="both"/>
      </w:pPr>
      <w:r>
        <w:rPr>
          <w:sz w:val="20"/>
        </w:rPr>
        <w:t xml:space="preserve">  должностного лица субъекта                      (последнее - при наличии)</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    М. 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Требованиям для реализации субъектами</w:t>
      </w:r>
    </w:p>
    <w:p>
      <w:pPr>
        <w:pStyle w:val="0"/>
        <w:jc w:val="right"/>
      </w:pPr>
      <w:r>
        <w:rPr>
          <w:sz w:val="20"/>
        </w:rPr>
        <w:t xml:space="preserve">Российской Федерации мероприятий</w:t>
      </w:r>
    </w:p>
    <w:p>
      <w:pPr>
        <w:pStyle w:val="0"/>
        <w:jc w:val="right"/>
      </w:pPr>
      <w:r>
        <w:rPr>
          <w:sz w:val="20"/>
        </w:rPr>
        <w:t xml:space="preserve">региональных проектов, обеспечивающих</w:t>
      </w:r>
    </w:p>
    <w:p>
      <w:pPr>
        <w:pStyle w:val="0"/>
        <w:jc w:val="right"/>
      </w:pPr>
      <w:r>
        <w:rPr>
          <w:sz w:val="20"/>
        </w:rPr>
        <w:t xml:space="preserve">достижение целей, показателей</w:t>
      </w:r>
    </w:p>
    <w:p>
      <w:pPr>
        <w:pStyle w:val="0"/>
        <w:jc w:val="right"/>
      </w:pPr>
      <w:r>
        <w:rPr>
          <w:sz w:val="20"/>
        </w:rPr>
        <w:t xml:space="preserve">и результатов федерального проекта "Малое</w:t>
      </w:r>
    </w:p>
    <w:p>
      <w:pPr>
        <w:pStyle w:val="0"/>
        <w:jc w:val="right"/>
      </w:pPr>
      <w:r>
        <w:rPr>
          <w:sz w:val="20"/>
        </w:rPr>
        <w:t xml:space="preserve">и среднее предпринимательство и поддержка</w:t>
      </w:r>
    </w:p>
    <w:p>
      <w:pPr>
        <w:pStyle w:val="0"/>
        <w:jc w:val="right"/>
      </w:pPr>
      <w:r>
        <w:rPr>
          <w:sz w:val="20"/>
        </w:rPr>
        <w:t xml:space="preserve">индивидуальной предпринимательской</w:t>
      </w:r>
    </w:p>
    <w:p>
      <w:pPr>
        <w:pStyle w:val="0"/>
        <w:jc w:val="right"/>
      </w:pPr>
      <w:r>
        <w:rPr>
          <w:sz w:val="20"/>
        </w:rPr>
        <w:t xml:space="preserve">инициативы", входящего в состав</w:t>
      </w:r>
    </w:p>
    <w:p>
      <w:pPr>
        <w:pStyle w:val="0"/>
        <w:jc w:val="right"/>
      </w:pPr>
      <w:r>
        <w:rPr>
          <w:sz w:val="20"/>
        </w:rPr>
        <w:t xml:space="preserve">национального проекта "Эффективная</w:t>
      </w:r>
    </w:p>
    <w:p>
      <w:pPr>
        <w:pStyle w:val="0"/>
        <w:jc w:val="right"/>
      </w:pPr>
      <w:r>
        <w:rPr>
          <w:sz w:val="20"/>
        </w:rPr>
        <w:t xml:space="preserve">и конкурентная экономика",</w:t>
      </w:r>
    </w:p>
    <w:p>
      <w:pPr>
        <w:pStyle w:val="0"/>
        <w:jc w:val="right"/>
      </w:pPr>
      <w:r>
        <w:rPr>
          <w:sz w:val="20"/>
        </w:rPr>
        <w:t xml:space="preserve">предусматривающим основные направления</w:t>
      </w:r>
    </w:p>
    <w:p>
      <w:pPr>
        <w:pStyle w:val="0"/>
        <w:jc w:val="right"/>
      </w:pPr>
      <w:r>
        <w:rPr>
          <w:sz w:val="20"/>
        </w:rPr>
        <w:t xml:space="preserve">расходов при реализации мероприятий,</w:t>
      </w:r>
    </w:p>
    <w:p>
      <w:pPr>
        <w:pStyle w:val="0"/>
        <w:jc w:val="right"/>
      </w:pPr>
      <w:r>
        <w:rPr>
          <w:sz w:val="20"/>
        </w:rPr>
        <w:t xml:space="preserve">ключевые показатели эффективности</w:t>
      </w:r>
    </w:p>
    <w:p>
      <w:pPr>
        <w:pStyle w:val="0"/>
        <w:jc w:val="right"/>
      </w:pPr>
      <w:r>
        <w:rPr>
          <w:sz w:val="20"/>
        </w:rPr>
        <w:t xml:space="preserve">реализации мероприятий, в том числе</w:t>
      </w:r>
    </w:p>
    <w:p>
      <w:pPr>
        <w:pStyle w:val="0"/>
        <w:jc w:val="right"/>
      </w:pPr>
      <w:r>
        <w:rPr>
          <w:sz w:val="20"/>
        </w:rPr>
        <w:t xml:space="preserve">требованиям к организациям, образующим</w:t>
      </w:r>
    </w:p>
    <w:p>
      <w:pPr>
        <w:pStyle w:val="0"/>
        <w:jc w:val="right"/>
      </w:pPr>
      <w:r>
        <w:rPr>
          <w:sz w:val="20"/>
        </w:rPr>
        <w:t xml:space="preserve">инфраструктуру поддержки субъектов малого</w:t>
      </w:r>
    </w:p>
    <w:p>
      <w:pPr>
        <w:pStyle w:val="0"/>
        <w:jc w:val="right"/>
      </w:pPr>
      <w:r>
        <w:rPr>
          <w:sz w:val="20"/>
        </w:rPr>
        <w:t xml:space="preserve">и среднего предпринимательства,</w:t>
      </w:r>
    </w:p>
    <w:p>
      <w:pPr>
        <w:pStyle w:val="0"/>
        <w:jc w:val="right"/>
      </w:pPr>
      <w:r>
        <w:rPr>
          <w:sz w:val="20"/>
        </w:rPr>
        <w:t xml:space="preserve">требованиям к государственным</w:t>
      </w:r>
    </w:p>
    <w:p>
      <w:pPr>
        <w:pStyle w:val="0"/>
        <w:jc w:val="right"/>
      </w:pPr>
      <w:r>
        <w:rPr>
          <w:sz w:val="20"/>
        </w:rPr>
        <w:t xml:space="preserve">(муниципальным) микрофинансовым</w:t>
      </w:r>
    </w:p>
    <w:p>
      <w:pPr>
        <w:pStyle w:val="0"/>
        <w:jc w:val="right"/>
      </w:pPr>
      <w:r>
        <w:rPr>
          <w:sz w:val="20"/>
        </w:rPr>
        <w:t xml:space="preserve">организациям и к их деятельности,</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27 марта 2025 г. N 195</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bookmarkStart w:id="2575" w:name="P2575"/>
    <w:bookmarkEnd w:id="2575"/>
    <w:p>
      <w:pPr>
        <w:pStyle w:val="0"/>
        <w:jc w:val="center"/>
      </w:pPr>
      <w:r>
        <w:rPr>
          <w:sz w:val="20"/>
        </w:rPr>
        <w:t xml:space="preserve">ГРАФИК</w:t>
      </w:r>
    </w:p>
    <w:p>
      <w:pPr>
        <w:pStyle w:val="0"/>
        <w:jc w:val="center"/>
      </w:pPr>
      <w:r>
        <w:rPr>
          <w:sz w:val="20"/>
        </w:rPr>
        <w:t xml:space="preserve">выполнения мероприятия по созданию и (или) развитию</w:t>
      </w:r>
    </w:p>
    <w:p>
      <w:pPr>
        <w:pStyle w:val="0"/>
        <w:jc w:val="center"/>
      </w:pPr>
      <w:r>
        <w:rPr>
          <w:sz w:val="20"/>
        </w:rPr>
        <w:t xml:space="preserve">индустриального (промышленного) парка, агропромышленного</w:t>
      </w:r>
    </w:p>
    <w:p>
      <w:pPr>
        <w:pStyle w:val="0"/>
        <w:jc w:val="center"/>
      </w:pPr>
      <w:r>
        <w:rPr>
          <w:sz w:val="20"/>
        </w:rPr>
        <w:t xml:space="preserve">парка, бизнес-парка, технопарка или промышленного технопарка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159"/>
        <w:gridCol w:w="3912"/>
      </w:tblGrid>
      <w:tr>
        <w:tc>
          <w:tcPr>
            <w:tcW w:w="5159" w:type="dxa"/>
            <w:tcBorders>
              <w:top w:val="nil"/>
              <w:left w:val="nil"/>
              <w:bottom w:val="nil"/>
              <w:right w:val="nil"/>
            </w:tcBorders>
          </w:tcPr>
          <w:p>
            <w:pPr>
              <w:pStyle w:val="0"/>
            </w:pPr>
            <w:r>
              <w:rPr>
                <w:sz w:val="20"/>
              </w:rPr>
              <w:t xml:space="preserve">Наименование федерального органа исполнительной власти</w:t>
            </w:r>
          </w:p>
        </w:tc>
        <w:tc>
          <w:tcPr>
            <w:tcW w:w="3912" w:type="dxa"/>
            <w:tcBorders>
              <w:top w:val="nil"/>
              <w:left w:val="nil"/>
              <w:bottom w:val="single" w:sz="4"/>
              <w:right w:val="nil"/>
            </w:tcBorders>
          </w:tcPr>
          <w:p>
            <w:pPr>
              <w:pStyle w:val="0"/>
            </w:pPr>
            <w:r>
              <w:rPr>
                <w:sz w:val="20"/>
              </w:rPr>
            </w:r>
          </w:p>
        </w:tc>
      </w:tr>
      <w:tr>
        <w:tc>
          <w:tcPr>
            <w:tcW w:w="5159" w:type="dxa"/>
            <w:tcBorders>
              <w:top w:val="nil"/>
              <w:left w:val="nil"/>
              <w:bottom w:val="nil"/>
              <w:right w:val="nil"/>
            </w:tcBorders>
          </w:tcPr>
          <w:p>
            <w:pPr>
              <w:pStyle w:val="0"/>
            </w:pPr>
            <w:r>
              <w:rPr>
                <w:sz w:val="20"/>
              </w:rPr>
              <w:t xml:space="preserve">Наименование субъекта Российской Федерации</w:t>
            </w:r>
          </w:p>
        </w:tc>
        <w:tc>
          <w:tcPr>
            <w:tcW w:w="3912" w:type="dxa"/>
            <w:tcBorders>
              <w:top w:val="single" w:sz="4"/>
              <w:left w:val="nil"/>
              <w:bottom w:val="single" w:sz="4"/>
              <w:right w:val="nil"/>
            </w:tcBorders>
          </w:tcPr>
          <w:p>
            <w:pPr>
              <w:pStyle w:val="0"/>
            </w:pPr>
            <w:r>
              <w:rPr>
                <w:sz w:val="20"/>
              </w:rPr>
            </w:r>
          </w:p>
        </w:tc>
      </w:tr>
      <w:tr>
        <w:tc>
          <w:tcPr>
            <w:tcW w:w="5159" w:type="dxa"/>
            <w:tcBorders>
              <w:top w:val="nil"/>
              <w:left w:val="nil"/>
              <w:bottom w:val="nil"/>
              <w:right w:val="nil"/>
            </w:tcBorders>
          </w:tcPr>
          <w:p>
            <w:pPr>
              <w:pStyle w:val="0"/>
            </w:pPr>
            <w:r>
              <w:rPr>
                <w:sz w:val="20"/>
              </w:rPr>
              <w:t xml:space="preserve">Наименование органа исполнительной власти субъекта Российской Федерации</w:t>
            </w:r>
          </w:p>
        </w:tc>
        <w:tc>
          <w:tcPr>
            <w:tcW w:w="3912" w:type="dxa"/>
            <w:tcBorders>
              <w:top w:val="single" w:sz="4"/>
              <w:left w:val="nil"/>
              <w:bottom w:val="single" w:sz="4"/>
              <w:right w:val="nil"/>
            </w:tcBorders>
          </w:tcPr>
          <w:p>
            <w:pPr>
              <w:pStyle w:val="0"/>
            </w:pPr>
            <w:r>
              <w:rPr>
                <w:sz w:val="20"/>
              </w:rPr>
            </w:r>
          </w:p>
        </w:tc>
      </w:tr>
    </w:tbl>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737"/>
        <w:gridCol w:w="567"/>
        <w:gridCol w:w="964"/>
        <w:gridCol w:w="624"/>
        <w:gridCol w:w="566"/>
        <w:gridCol w:w="624"/>
        <w:gridCol w:w="624"/>
        <w:gridCol w:w="624"/>
        <w:gridCol w:w="566"/>
        <w:gridCol w:w="624"/>
        <w:gridCol w:w="624"/>
        <w:gridCol w:w="624"/>
        <w:gridCol w:w="567"/>
        <w:gridCol w:w="624"/>
        <w:gridCol w:w="624"/>
        <w:gridCol w:w="624"/>
        <w:gridCol w:w="577"/>
        <w:gridCol w:w="624"/>
        <w:gridCol w:w="624"/>
        <w:gridCol w:w="624"/>
        <w:gridCol w:w="567"/>
        <w:gridCol w:w="624"/>
        <w:gridCol w:w="624"/>
      </w:tblGrid>
      <w:tr>
        <w:tc>
          <w:tcPr>
            <w:tcW w:w="510" w:type="dxa"/>
            <w:vMerge w:val="restart"/>
          </w:tcPr>
          <w:p>
            <w:pPr>
              <w:pStyle w:val="0"/>
              <w:jc w:val="center"/>
            </w:pPr>
            <w:r>
              <w:rPr>
                <w:sz w:val="20"/>
              </w:rPr>
              <w:t xml:space="preserve">N п/п</w:t>
            </w:r>
          </w:p>
        </w:tc>
        <w:tc>
          <w:tcPr>
            <w:tcW w:w="737" w:type="dxa"/>
            <w:vMerge w:val="restart"/>
          </w:tcPr>
          <w:p>
            <w:pPr>
              <w:pStyle w:val="0"/>
              <w:jc w:val="center"/>
            </w:pPr>
            <w:r>
              <w:rPr>
                <w:sz w:val="20"/>
              </w:rPr>
              <w:t xml:space="preserve">Наименование объекта капитального строительства</w:t>
            </w:r>
          </w:p>
        </w:tc>
        <w:tc>
          <w:tcPr>
            <w:tcW w:w="567" w:type="dxa"/>
            <w:vMerge w:val="restart"/>
          </w:tcPr>
          <w:p>
            <w:pPr>
              <w:pStyle w:val="0"/>
              <w:jc w:val="center"/>
            </w:pPr>
            <w:r>
              <w:rPr>
                <w:sz w:val="20"/>
              </w:rPr>
              <w:t xml:space="preserve">Местонахождение (адрес)</w:t>
            </w:r>
          </w:p>
        </w:tc>
        <w:tc>
          <w:tcPr>
            <w:tcW w:w="964" w:type="dxa"/>
            <w:vMerge w:val="restart"/>
          </w:tcPr>
          <w:p>
            <w:pPr>
              <w:pStyle w:val="0"/>
              <w:jc w:val="center"/>
            </w:pPr>
            <w:r>
              <w:rPr>
                <w:sz w:val="20"/>
              </w:rPr>
              <w:t xml:space="preserve">Вид строительства (строительство, реконструкция, техническое перевооружение)</w:t>
            </w:r>
          </w:p>
        </w:tc>
        <w:tc>
          <w:tcPr>
            <w:gridSpan w:val="20"/>
            <w:tcW w:w="12203" w:type="dxa"/>
          </w:tcPr>
          <w:p>
            <w:pPr>
              <w:pStyle w:val="0"/>
              <w:jc w:val="center"/>
            </w:pPr>
            <w:r>
              <w:rPr>
                <w:sz w:val="20"/>
              </w:rPr>
              <w:t xml:space="preserve">Объем финансового обеспечения на строительство (реконструкцию, в том числе с элементами реставрации, техническое перевооружение) объектов капитального строительства, тыс. рублей</w:t>
            </w:r>
          </w:p>
        </w:tc>
      </w:tr>
      <w:tr>
        <w:tc>
          <w:tcPr>
            <w:vMerge w:val="continue"/>
          </w:tcPr>
          <w:p/>
        </w:tc>
        <w:tc>
          <w:tcPr>
            <w:vMerge w:val="continue"/>
          </w:tcPr>
          <w:p/>
        </w:tc>
        <w:tc>
          <w:tcPr>
            <w:vMerge w:val="continue"/>
          </w:tcPr>
          <w:p/>
        </w:tc>
        <w:tc>
          <w:tcPr>
            <w:vMerge w:val="continue"/>
          </w:tcPr>
          <w:p/>
        </w:tc>
        <w:tc>
          <w:tcPr>
            <w:gridSpan w:val="4"/>
            <w:tcW w:w="2438" w:type="dxa"/>
            <w:vMerge w:val="restart"/>
          </w:tcPr>
          <w:p>
            <w:pPr>
              <w:pStyle w:val="0"/>
              <w:jc w:val="center"/>
            </w:pPr>
            <w:r>
              <w:rPr>
                <w:sz w:val="20"/>
              </w:rPr>
              <w:t xml:space="preserve">Всего</w:t>
            </w:r>
          </w:p>
        </w:tc>
        <w:tc>
          <w:tcPr>
            <w:gridSpan w:val="16"/>
            <w:tcW w:w="9765"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gridSpan w:val="4"/>
            <w:vMerge w:val="continue"/>
          </w:tcPr>
          <w:p/>
        </w:tc>
        <w:tc>
          <w:tcPr>
            <w:gridSpan w:val="4"/>
            <w:tcW w:w="2438" w:type="dxa"/>
          </w:tcPr>
          <w:p>
            <w:pPr>
              <w:pStyle w:val="0"/>
              <w:jc w:val="center"/>
            </w:pPr>
            <w:r>
              <w:rPr>
                <w:sz w:val="20"/>
              </w:rPr>
              <w:t xml:space="preserve">федеральный бюджет</w:t>
            </w:r>
          </w:p>
        </w:tc>
        <w:tc>
          <w:tcPr>
            <w:gridSpan w:val="4"/>
            <w:tcW w:w="2439" w:type="dxa"/>
          </w:tcPr>
          <w:p>
            <w:pPr>
              <w:pStyle w:val="0"/>
              <w:jc w:val="center"/>
            </w:pPr>
            <w:r>
              <w:rPr>
                <w:sz w:val="20"/>
              </w:rPr>
              <w:t xml:space="preserve">бюджет субъекта Российской Федерации</w:t>
            </w:r>
          </w:p>
        </w:tc>
        <w:tc>
          <w:tcPr>
            <w:gridSpan w:val="4"/>
            <w:tcW w:w="2449" w:type="dxa"/>
          </w:tcPr>
          <w:p>
            <w:pPr>
              <w:pStyle w:val="0"/>
              <w:jc w:val="center"/>
            </w:pPr>
            <w:r>
              <w:rPr>
                <w:sz w:val="20"/>
              </w:rPr>
              <w:t xml:space="preserve">местный бюджет</w:t>
            </w:r>
          </w:p>
        </w:tc>
        <w:tc>
          <w:tcPr>
            <w:gridSpan w:val="4"/>
            <w:tcW w:w="2439" w:type="dxa"/>
          </w:tcPr>
          <w:p>
            <w:pPr>
              <w:pStyle w:val="0"/>
              <w:jc w:val="center"/>
            </w:pPr>
            <w:r>
              <w:rPr>
                <w:sz w:val="20"/>
              </w:rPr>
              <w:t xml:space="preserve">внебюджетные источники</w:t>
            </w:r>
          </w:p>
        </w:tc>
      </w:tr>
      <w:tr>
        <w:tc>
          <w:tcPr>
            <w:vMerge w:val="continue"/>
          </w:tcPr>
          <w:p/>
        </w:tc>
        <w:tc>
          <w:tcPr>
            <w:vMerge w:val="continue"/>
          </w:tcPr>
          <w:p/>
        </w:tc>
        <w:tc>
          <w:tcPr>
            <w:vMerge w:val="continue"/>
          </w:tcPr>
          <w:p/>
        </w:tc>
        <w:tc>
          <w:tcPr>
            <w:vMerge w:val="continue"/>
          </w:tcPr>
          <w:p/>
        </w:tc>
        <w:tc>
          <w:tcPr>
            <w:gridSpan w:val="2"/>
            <w:tcW w:w="1190" w:type="dxa"/>
            <w:vMerge w:val="restart"/>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c>
          <w:tcPr>
            <w:gridSpan w:val="2"/>
            <w:tcW w:w="1190" w:type="dxa"/>
            <w:vMerge w:val="restart"/>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c>
          <w:tcPr>
            <w:gridSpan w:val="2"/>
            <w:tcW w:w="1191" w:type="dxa"/>
            <w:vMerge w:val="restart"/>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c>
          <w:tcPr>
            <w:gridSpan w:val="2"/>
            <w:tcW w:w="1201" w:type="dxa"/>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c>
          <w:tcPr>
            <w:gridSpan w:val="2"/>
            <w:tcW w:w="1191" w:type="dxa"/>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r>
      <w:tr>
        <w:tc>
          <w:tcPr>
            <w:vMerge w:val="continue"/>
          </w:tcPr>
          <w:p/>
        </w:tc>
        <w:tc>
          <w:tcPr>
            <w:vMerge w:val="continue"/>
          </w:tcPr>
          <w:p/>
        </w:tc>
        <w:tc>
          <w:tcPr>
            <w:vMerge w:val="continue"/>
          </w:tcPr>
          <w:p/>
        </w:tc>
        <w:tc>
          <w:tcPr>
            <w:vMerge w:val="continue"/>
          </w:tcPr>
          <w:p/>
        </w:tc>
        <w:tc>
          <w:tcPr>
            <w:gridSpan w:val="2"/>
            <w:vMerge w:val="continue"/>
          </w:tcPr>
          <w:p/>
        </w:tc>
        <w:tc>
          <w:tcPr>
            <w:tcW w:w="624" w:type="dxa"/>
            <w:vMerge w:val="restart"/>
          </w:tcPr>
          <w:p>
            <w:pPr>
              <w:pStyle w:val="0"/>
              <w:jc w:val="center"/>
            </w:pPr>
            <w:r>
              <w:rPr>
                <w:sz w:val="20"/>
              </w:rPr>
              <w:t xml:space="preserve">20__ г.</w:t>
            </w:r>
          </w:p>
        </w:tc>
        <w:tc>
          <w:tcPr>
            <w:tcW w:w="624" w:type="dxa"/>
            <w:vMerge w:val="restart"/>
          </w:tcPr>
          <w:p>
            <w:pPr>
              <w:pStyle w:val="0"/>
              <w:jc w:val="center"/>
            </w:pPr>
            <w:r>
              <w:rPr>
                <w:sz w:val="20"/>
              </w:rPr>
              <w:t xml:space="preserve">20__ г.</w:t>
            </w:r>
          </w:p>
        </w:tc>
        <w:tc>
          <w:tcPr>
            <w:gridSpan w:val="2"/>
            <w:vMerge w:val="continue"/>
          </w:tcPr>
          <w:p/>
        </w:tc>
        <w:tc>
          <w:tcPr>
            <w:tcW w:w="624" w:type="dxa"/>
            <w:vMerge w:val="restart"/>
          </w:tcPr>
          <w:p>
            <w:pPr>
              <w:pStyle w:val="0"/>
              <w:jc w:val="center"/>
            </w:pPr>
            <w:r>
              <w:rPr>
                <w:sz w:val="20"/>
              </w:rPr>
              <w:t xml:space="preserve">20__ г.</w:t>
            </w:r>
          </w:p>
        </w:tc>
        <w:tc>
          <w:tcPr>
            <w:tcW w:w="624" w:type="dxa"/>
            <w:vMerge w:val="restart"/>
          </w:tcPr>
          <w:p>
            <w:pPr>
              <w:pStyle w:val="0"/>
              <w:jc w:val="center"/>
            </w:pPr>
            <w:r>
              <w:rPr>
                <w:sz w:val="20"/>
              </w:rPr>
              <w:t xml:space="preserve">20__ г.</w:t>
            </w:r>
          </w:p>
        </w:tc>
        <w:tc>
          <w:tcPr>
            <w:gridSpan w:val="2"/>
            <w:vMerge w:val="continue"/>
          </w:tcPr>
          <w:p/>
        </w:tc>
        <w:tc>
          <w:tcPr>
            <w:tcW w:w="624" w:type="dxa"/>
            <w:vMerge w:val="restart"/>
          </w:tcPr>
          <w:p>
            <w:pPr>
              <w:pStyle w:val="0"/>
              <w:jc w:val="center"/>
            </w:pPr>
            <w:r>
              <w:rPr>
                <w:sz w:val="20"/>
              </w:rPr>
              <w:t xml:space="preserve">20__ г.</w:t>
            </w:r>
          </w:p>
        </w:tc>
        <w:tc>
          <w:tcPr>
            <w:tcW w:w="624" w:type="dxa"/>
            <w:vMerge w:val="restart"/>
          </w:tcPr>
          <w:p>
            <w:pPr>
              <w:pStyle w:val="0"/>
              <w:jc w:val="center"/>
            </w:pPr>
            <w:r>
              <w:rPr>
                <w:sz w:val="20"/>
              </w:rPr>
              <w:t xml:space="preserve">20__ г.</w:t>
            </w:r>
          </w:p>
        </w:tc>
        <w:tc>
          <w:tcPr>
            <w:gridSpan w:val="2"/>
            <w:tcW w:w="1201" w:type="dxa"/>
          </w:tcPr>
          <w:p>
            <w:pPr>
              <w:pStyle w:val="0"/>
            </w:pPr>
            <w:r>
              <w:rPr>
                <w:sz w:val="20"/>
              </w:rPr>
            </w:r>
          </w:p>
        </w:tc>
        <w:tc>
          <w:tcPr>
            <w:tcW w:w="624" w:type="dxa"/>
            <w:vMerge w:val="restart"/>
          </w:tcPr>
          <w:p>
            <w:pPr>
              <w:pStyle w:val="0"/>
              <w:jc w:val="center"/>
            </w:pPr>
            <w:r>
              <w:rPr>
                <w:sz w:val="20"/>
              </w:rPr>
              <w:t xml:space="preserve">20__ г.</w:t>
            </w:r>
          </w:p>
        </w:tc>
        <w:tc>
          <w:tcPr>
            <w:tcW w:w="624" w:type="dxa"/>
            <w:vMerge w:val="restart"/>
          </w:tcPr>
          <w:p>
            <w:pPr>
              <w:pStyle w:val="0"/>
              <w:jc w:val="center"/>
            </w:pPr>
            <w:r>
              <w:rPr>
                <w:sz w:val="20"/>
              </w:rPr>
              <w:t xml:space="preserve">20__ г.</w:t>
            </w:r>
          </w:p>
        </w:tc>
        <w:tc>
          <w:tcPr>
            <w:gridSpan w:val="2"/>
            <w:tcW w:w="1191" w:type="dxa"/>
          </w:tcPr>
          <w:p>
            <w:pPr>
              <w:pStyle w:val="0"/>
            </w:pPr>
            <w:r>
              <w:rPr>
                <w:sz w:val="20"/>
              </w:rPr>
            </w:r>
          </w:p>
        </w:tc>
        <w:tc>
          <w:tcPr>
            <w:tcW w:w="624" w:type="dxa"/>
            <w:vMerge w:val="restart"/>
          </w:tcPr>
          <w:p>
            <w:pPr>
              <w:pStyle w:val="0"/>
              <w:jc w:val="center"/>
            </w:pPr>
            <w:r>
              <w:rPr>
                <w:sz w:val="20"/>
              </w:rPr>
              <w:t xml:space="preserve">20__ г.</w:t>
            </w:r>
          </w:p>
        </w:tc>
        <w:tc>
          <w:tcPr>
            <w:tcW w:w="624" w:type="dxa"/>
            <w:vMerge w:val="restart"/>
          </w:tcPr>
          <w:p>
            <w:pPr>
              <w:pStyle w:val="0"/>
              <w:jc w:val="center"/>
            </w:pPr>
            <w:r>
              <w:rPr>
                <w:sz w:val="20"/>
              </w:rPr>
              <w:t xml:space="preserve">20__ г.</w:t>
            </w:r>
          </w:p>
        </w:tc>
      </w:tr>
      <w:tr>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план</w:t>
            </w:r>
          </w:p>
        </w:tc>
        <w:tc>
          <w:tcPr>
            <w:tcW w:w="566" w:type="dxa"/>
          </w:tcPr>
          <w:p>
            <w:pPr>
              <w:pStyle w:val="0"/>
              <w:jc w:val="center"/>
            </w:pPr>
            <w:r>
              <w:rPr>
                <w:sz w:val="20"/>
              </w:rPr>
              <w:t xml:space="preserve">факт</w:t>
            </w:r>
          </w:p>
        </w:tc>
        <w:tc>
          <w:tcPr>
            <w:vMerge w:val="continue"/>
          </w:tcPr>
          <w:p/>
        </w:tc>
        <w:tc>
          <w:tcPr>
            <w:vMerge w:val="continue"/>
          </w:tcPr>
          <w:p/>
        </w:tc>
        <w:tc>
          <w:tcPr>
            <w:tcW w:w="624" w:type="dxa"/>
          </w:tcPr>
          <w:p>
            <w:pPr>
              <w:pStyle w:val="0"/>
              <w:jc w:val="center"/>
            </w:pPr>
            <w:r>
              <w:rPr>
                <w:sz w:val="20"/>
              </w:rPr>
              <w:t xml:space="preserve">план</w:t>
            </w:r>
          </w:p>
        </w:tc>
        <w:tc>
          <w:tcPr>
            <w:tcW w:w="566" w:type="dxa"/>
          </w:tcPr>
          <w:p>
            <w:pPr>
              <w:pStyle w:val="0"/>
              <w:jc w:val="center"/>
            </w:pPr>
            <w:r>
              <w:rPr>
                <w:sz w:val="20"/>
              </w:rPr>
              <w:t xml:space="preserve">факт</w:t>
            </w:r>
          </w:p>
        </w:tc>
        <w:tc>
          <w:tcPr>
            <w:vMerge w:val="continue"/>
          </w:tcPr>
          <w:p/>
        </w:tc>
        <w:tc>
          <w:tcPr>
            <w:vMerge w:val="continue"/>
          </w:tcP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vMerge w:val="continue"/>
          </w:tcPr>
          <w:p/>
        </w:tc>
        <w:tc>
          <w:tcPr>
            <w:vMerge w:val="continue"/>
          </w:tcPr>
          <w:p/>
        </w:tc>
        <w:tc>
          <w:tcPr>
            <w:tcW w:w="624" w:type="dxa"/>
          </w:tcPr>
          <w:p>
            <w:pPr>
              <w:pStyle w:val="0"/>
              <w:jc w:val="center"/>
            </w:pPr>
            <w:r>
              <w:rPr>
                <w:sz w:val="20"/>
              </w:rPr>
              <w:t xml:space="preserve">план</w:t>
            </w:r>
          </w:p>
        </w:tc>
        <w:tc>
          <w:tcPr>
            <w:tcW w:w="577" w:type="dxa"/>
          </w:tcPr>
          <w:p>
            <w:pPr>
              <w:pStyle w:val="0"/>
              <w:jc w:val="center"/>
            </w:pPr>
            <w:r>
              <w:rPr>
                <w:sz w:val="20"/>
              </w:rPr>
              <w:t xml:space="preserve">факт</w:t>
            </w:r>
          </w:p>
        </w:tc>
        <w:tc>
          <w:tcPr>
            <w:vMerge w:val="continue"/>
          </w:tcPr>
          <w:p/>
        </w:tc>
        <w:tc>
          <w:tcPr>
            <w:vMerge w:val="continue"/>
          </w:tcP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vMerge w:val="continue"/>
          </w:tcPr>
          <w:p/>
        </w:tc>
        <w:tc>
          <w:tcPr>
            <w:vMerge w:val="continue"/>
          </w:tcPr>
          <w:p/>
        </w:tc>
      </w:tr>
      <w:tr>
        <w:tc>
          <w:tcPr>
            <w:tcW w:w="510" w:type="dxa"/>
          </w:tcPr>
          <w:p>
            <w:pPr>
              <w:pStyle w:val="0"/>
              <w:jc w:val="center"/>
            </w:pPr>
            <w:r>
              <w:rPr>
                <w:sz w:val="20"/>
              </w:rPr>
              <w:t xml:space="preserve">1</w:t>
            </w:r>
          </w:p>
        </w:tc>
        <w:tc>
          <w:tcPr>
            <w:tcW w:w="737" w:type="dxa"/>
          </w:tcPr>
          <w:p>
            <w:pPr>
              <w:pStyle w:val="0"/>
              <w:jc w:val="center"/>
            </w:pPr>
            <w:r>
              <w:rPr>
                <w:sz w:val="20"/>
              </w:rPr>
              <w:t xml:space="preserve">2</w:t>
            </w:r>
          </w:p>
        </w:tc>
        <w:tc>
          <w:tcPr>
            <w:tcW w:w="567" w:type="dxa"/>
          </w:tcPr>
          <w:p>
            <w:pPr>
              <w:pStyle w:val="0"/>
              <w:jc w:val="center"/>
            </w:pPr>
            <w:r>
              <w:rPr>
                <w:sz w:val="20"/>
              </w:rPr>
              <w:t xml:space="preserve">3</w:t>
            </w:r>
          </w:p>
        </w:tc>
        <w:tc>
          <w:tcPr>
            <w:tcW w:w="964" w:type="dxa"/>
          </w:tcPr>
          <w:p>
            <w:pPr>
              <w:pStyle w:val="0"/>
              <w:jc w:val="center"/>
            </w:pPr>
            <w:r>
              <w:rPr>
                <w:sz w:val="20"/>
              </w:rPr>
              <w:t xml:space="preserve">4</w:t>
            </w:r>
          </w:p>
        </w:tc>
        <w:tc>
          <w:tcPr>
            <w:tcW w:w="624" w:type="dxa"/>
          </w:tcPr>
          <w:p>
            <w:pPr>
              <w:pStyle w:val="0"/>
              <w:jc w:val="center"/>
            </w:pPr>
            <w:r>
              <w:rPr>
                <w:sz w:val="20"/>
              </w:rPr>
              <w:t xml:space="preserve">5</w:t>
            </w:r>
          </w:p>
        </w:tc>
        <w:tc>
          <w:tcPr>
            <w:tcW w:w="566" w:type="dxa"/>
          </w:tcPr>
          <w:p>
            <w:pPr>
              <w:pStyle w:val="0"/>
              <w:jc w:val="center"/>
            </w:pPr>
            <w:r>
              <w:rPr>
                <w:sz w:val="20"/>
              </w:rPr>
              <w:t xml:space="preserve">6</w:t>
            </w:r>
          </w:p>
        </w:tc>
        <w:tc>
          <w:tcPr>
            <w:tcW w:w="624" w:type="dxa"/>
          </w:tcPr>
          <w:p>
            <w:pPr>
              <w:pStyle w:val="0"/>
              <w:jc w:val="center"/>
            </w:pPr>
            <w:r>
              <w:rPr>
                <w:sz w:val="20"/>
              </w:rPr>
              <w:t xml:space="preserve">7</w:t>
            </w:r>
          </w:p>
        </w:tc>
        <w:tc>
          <w:tcPr>
            <w:tcW w:w="624" w:type="dxa"/>
          </w:tcPr>
          <w:p>
            <w:pPr>
              <w:pStyle w:val="0"/>
              <w:jc w:val="center"/>
            </w:pPr>
            <w:r>
              <w:rPr>
                <w:sz w:val="20"/>
              </w:rPr>
              <w:t xml:space="preserve">8</w:t>
            </w:r>
          </w:p>
        </w:tc>
        <w:tc>
          <w:tcPr>
            <w:tcW w:w="624" w:type="dxa"/>
          </w:tcPr>
          <w:p>
            <w:pPr>
              <w:pStyle w:val="0"/>
              <w:jc w:val="center"/>
            </w:pPr>
            <w:r>
              <w:rPr>
                <w:sz w:val="20"/>
              </w:rPr>
              <w:t xml:space="preserve">9</w:t>
            </w:r>
          </w:p>
        </w:tc>
        <w:tc>
          <w:tcPr>
            <w:tcW w:w="566" w:type="dxa"/>
          </w:tcPr>
          <w:p>
            <w:pPr>
              <w:pStyle w:val="0"/>
              <w:jc w:val="center"/>
            </w:pPr>
            <w:r>
              <w:rPr>
                <w:sz w:val="20"/>
              </w:rPr>
              <w:t xml:space="preserve">10</w:t>
            </w:r>
          </w:p>
        </w:tc>
        <w:tc>
          <w:tcPr>
            <w:tcW w:w="624" w:type="dxa"/>
          </w:tcPr>
          <w:p>
            <w:pPr>
              <w:pStyle w:val="0"/>
              <w:jc w:val="center"/>
            </w:pPr>
            <w:r>
              <w:rPr>
                <w:sz w:val="20"/>
              </w:rPr>
              <w:t xml:space="preserve">11</w:t>
            </w:r>
          </w:p>
        </w:tc>
        <w:tc>
          <w:tcPr>
            <w:tcW w:w="624" w:type="dxa"/>
          </w:tcPr>
          <w:p>
            <w:pPr>
              <w:pStyle w:val="0"/>
              <w:jc w:val="center"/>
            </w:pPr>
            <w:r>
              <w:rPr>
                <w:sz w:val="20"/>
              </w:rPr>
              <w:t xml:space="preserve">12</w:t>
            </w:r>
          </w:p>
        </w:tc>
        <w:tc>
          <w:tcPr>
            <w:tcW w:w="624" w:type="dxa"/>
          </w:tcPr>
          <w:p>
            <w:pPr>
              <w:pStyle w:val="0"/>
              <w:jc w:val="center"/>
            </w:pPr>
            <w:r>
              <w:rPr>
                <w:sz w:val="20"/>
              </w:rPr>
              <w:t xml:space="preserve">13</w:t>
            </w:r>
          </w:p>
        </w:tc>
        <w:tc>
          <w:tcPr>
            <w:tcW w:w="567" w:type="dxa"/>
          </w:tcPr>
          <w:p>
            <w:pPr>
              <w:pStyle w:val="0"/>
              <w:jc w:val="center"/>
            </w:pPr>
            <w:r>
              <w:rPr>
                <w:sz w:val="20"/>
              </w:rPr>
              <w:t xml:space="preserve">14</w:t>
            </w:r>
          </w:p>
        </w:tc>
        <w:tc>
          <w:tcPr>
            <w:tcW w:w="624" w:type="dxa"/>
          </w:tcPr>
          <w:p>
            <w:pPr>
              <w:pStyle w:val="0"/>
              <w:jc w:val="center"/>
            </w:pPr>
            <w:r>
              <w:rPr>
                <w:sz w:val="20"/>
              </w:rPr>
              <w:t xml:space="preserve">15</w:t>
            </w:r>
          </w:p>
        </w:tc>
        <w:tc>
          <w:tcPr>
            <w:tcW w:w="624" w:type="dxa"/>
          </w:tcPr>
          <w:p>
            <w:pPr>
              <w:pStyle w:val="0"/>
              <w:jc w:val="center"/>
            </w:pPr>
            <w:r>
              <w:rPr>
                <w:sz w:val="20"/>
              </w:rPr>
              <w:t xml:space="preserve">16</w:t>
            </w:r>
          </w:p>
        </w:tc>
        <w:tc>
          <w:tcPr>
            <w:tcW w:w="624" w:type="dxa"/>
          </w:tcPr>
          <w:p>
            <w:pPr>
              <w:pStyle w:val="0"/>
              <w:jc w:val="center"/>
            </w:pPr>
            <w:r>
              <w:rPr>
                <w:sz w:val="20"/>
              </w:rPr>
              <w:t xml:space="preserve">17</w:t>
            </w:r>
          </w:p>
        </w:tc>
        <w:tc>
          <w:tcPr>
            <w:tcW w:w="577" w:type="dxa"/>
          </w:tcPr>
          <w:p>
            <w:pPr>
              <w:pStyle w:val="0"/>
              <w:jc w:val="center"/>
            </w:pPr>
            <w:r>
              <w:rPr>
                <w:sz w:val="20"/>
              </w:rPr>
              <w:t xml:space="preserve">18</w:t>
            </w:r>
          </w:p>
        </w:tc>
        <w:tc>
          <w:tcPr>
            <w:tcW w:w="624" w:type="dxa"/>
          </w:tcPr>
          <w:p>
            <w:pPr>
              <w:pStyle w:val="0"/>
              <w:jc w:val="center"/>
            </w:pPr>
            <w:r>
              <w:rPr>
                <w:sz w:val="20"/>
              </w:rPr>
              <w:t xml:space="preserve">19</w:t>
            </w:r>
          </w:p>
        </w:tc>
        <w:tc>
          <w:tcPr>
            <w:tcW w:w="624" w:type="dxa"/>
          </w:tcPr>
          <w:p>
            <w:pPr>
              <w:pStyle w:val="0"/>
              <w:jc w:val="center"/>
            </w:pPr>
            <w:r>
              <w:rPr>
                <w:sz w:val="20"/>
              </w:rPr>
              <w:t xml:space="preserve">20</w:t>
            </w:r>
          </w:p>
        </w:tc>
        <w:tc>
          <w:tcPr>
            <w:tcW w:w="624" w:type="dxa"/>
          </w:tcPr>
          <w:p>
            <w:pPr>
              <w:pStyle w:val="0"/>
              <w:jc w:val="center"/>
            </w:pPr>
            <w:r>
              <w:rPr>
                <w:sz w:val="20"/>
              </w:rPr>
              <w:t xml:space="preserve">21</w:t>
            </w:r>
          </w:p>
        </w:tc>
        <w:tc>
          <w:tcPr>
            <w:tcW w:w="567" w:type="dxa"/>
          </w:tcPr>
          <w:p>
            <w:pPr>
              <w:pStyle w:val="0"/>
              <w:jc w:val="center"/>
            </w:pPr>
            <w:r>
              <w:rPr>
                <w:sz w:val="20"/>
              </w:rPr>
              <w:t xml:space="preserve">22</w:t>
            </w:r>
          </w:p>
        </w:tc>
        <w:tc>
          <w:tcPr>
            <w:tcW w:w="624" w:type="dxa"/>
          </w:tcPr>
          <w:p>
            <w:pPr>
              <w:pStyle w:val="0"/>
              <w:jc w:val="center"/>
            </w:pPr>
            <w:r>
              <w:rPr>
                <w:sz w:val="20"/>
              </w:rPr>
              <w:t xml:space="preserve">23</w:t>
            </w:r>
          </w:p>
        </w:tc>
        <w:tc>
          <w:tcPr>
            <w:tcW w:w="624" w:type="dxa"/>
          </w:tcPr>
          <w:p>
            <w:pPr>
              <w:pStyle w:val="0"/>
              <w:jc w:val="center"/>
            </w:pPr>
            <w:r>
              <w:rPr>
                <w:sz w:val="20"/>
              </w:rPr>
              <w:t xml:space="preserve">24</w:t>
            </w:r>
          </w:p>
        </w:tc>
      </w:tr>
      <w:tr>
        <w:tc>
          <w:tcPr>
            <w:tcW w:w="510" w:type="dxa"/>
          </w:tcPr>
          <w:p>
            <w:pPr>
              <w:pStyle w:val="0"/>
              <w:jc w:val="center"/>
            </w:pPr>
            <w:r>
              <w:rPr>
                <w:sz w:val="20"/>
              </w:rPr>
              <w:t xml:space="preserve">1</w:t>
            </w:r>
          </w:p>
        </w:tc>
        <w:tc>
          <w:tcPr>
            <w:tcW w:w="737" w:type="dxa"/>
          </w:tcPr>
          <w:p>
            <w:pPr>
              <w:pStyle w:val="0"/>
            </w:pPr>
            <w:r>
              <w:rPr>
                <w:sz w:val="20"/>
              </w:rPr>
            </w:r>
          </w:p>
        </w:tc>
        <w:tc>
          <w:tcPr>
            <w:tcW w:w="567" w:type="dxa"/>
          </w:tcPr>
          <w:p>
            <w:pPr>
              <w:pStyle w:val="0"/>
            </w:pPr>
            <w:r>
              <w:rPr>
                <w:sz w:val="20"/>
              </w:rPr>
            </w:r>
          </w:p>
        </w:tc>
        <w:tc>
          <w:tcPr>
            <w:tcW w:w="964" w:type="dxa"/>
          </w:tcPr>
          <w:p>
            <w:pPr>
              <w:pStyle w:val="0"/>
            </w:pPr>
            <w:r>
              <w:rPr>
                <w:sz w:val="20"/>
              </w:rPr>
            </w:r>
          </w:p>
        </w:tc>
        <w:tc>
          <w:tcPr>
            <w:tcW w:w="624" w:type="dxa"/>
          </w:tcPr>
          <w:p>
            <w:pPr>
              <w:pStyle w:val="0"/>
            </w:pPr>
            <w:r>
              <w:rPr>
                <w:sz w:val="20"/>
              </w:rPr>
            </w:r>
          </w:p>
        </w:tc>
        <w:tc>
          <w:tcPr>
            <w:tcW w:w="566"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6"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7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24" w:type="dxa"/>
          </w:tcPr>
          <w:p>
            <w:pPr>
              <w:pStyle w:val="0"/>
            </w:pPr>
            <w:r>
              <w:rPr>
                <w:sz w:val="20"/>
              </w:rPr>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794"/>
        <w:gridCol w:w="1134"/>
        <w:gridCol w:w="1161"/>
        <w:gridCol w:w="1162"/>
        <w:gridCol w:w="849"/>
        <w:gridCol w:w="850"/>
        <w:gridCol w:w="1644"/>
        <w:gridCol w:w="1531"/>
        <w:gridCol w:w="1531"/>
        <w:gridCol w:w="2041"/>
      </w:tblGrid>
      <w:tr>
        <w:tc>
          <w:tcPr>
            <w:gridSpan w:val="2"/>
            <w:tcW w:w="1588" w:type="dxa"/>
          </w:tcPr>
          <w:p>
            <w:pPr>
              <w:pStyle w:val="0"/>
              <w:jc w:val="center"/>
            </w:pPr>
            <w:r>
              <w:rPr>
                <w:sz w:val="20"/>
              </w:rPr>
              <w:t xml:space="preserve">Землеотвод</w:t>
            </w:r>
          </w:p>
        </w:tc>
        <w:tc>
          <w:tcPr>
            <w:tcW w:w="1134" w:type="dxa"/>
          </w:tcPr>
          <w:p>
            <w:pPr>
              <w:pStyle w:val="0"/>
              <w:jc w:val="center"/>
            </w:pPr>
            <w:r>
              <w:rPr>
                <w:sz w:val="20"/>
              </w:rPr>
              <w:t xml:space="preserve">Проектирование</w:t>
            </w:r>
          </w:p>
        </w:tc>
        <w:tc>
          <w:tcPr>
            <w:gridSpan w:val="2"/>
            <w:tcW w:w="2323" w:type="dxa"/>
            <w:vMerge w:val="restart"/>
          </w:tcPr>
          <w:p>
            <w:pPr>
              <w:pStyle w:val="0"/>
              <w:jc w:val="center"/>
            </w:pPr>
            <w:r>
              <w:rPr>
                <w:sz w:val="20"/>
              </w:rPr>
              <w:t xml:space="preserve">Предельная стоимость строительства (реконструкции, технического перевооружения) объекта капитального строительства, утвержденная в техническом задании на проведение работ по строительству (реконструкции, в том числе с элементами реставрации, техническому перевооружению) объекта, тыс. рублей</w:t>
            </w:r>
          </w:p>
        </w:tc>
        <w:tc>
          <w:tcPr>
            <w:gridSpan w:val="2"/>
            <w:tcW w:w="1699" w:type="dxa"/>
            <w:vMerge w:val="restart"/>
          </w:tcPr>
          <w:p>
            <w:pPr>
              <w:pStyle w:val="0"/>
              <w:jc w:val="center"/>
            </w:pPr>
            <w:r>
              <w:rPr>
                <w:sz w:val="20"/>
              </w:rPr>
              <w:t xml:space="preserve">Нормативный срок строительства в соответствии с техническим заданием на проведение работ по строительству (реконструкции, в том числе с элементами реставрации, техническому перевооружению) объекта</w:t>
            </w:r>
          </w:p>
        </w:tc>
        <w:tc>
          <w:tcPr>
            <w:tcW w:w="1644" w:type="dxa"/>
            <w:vMerge w:val="restart"/>
          </w:tcPr>
          <w:p>
            <w:pPr>
              <w:pStyle w:val="0"/>
              <w:jc w:val="center"/>
            </w:pPr>
            <w:r>
              <w:rPr>
                <w:sz w:val="20"/>
              </w:rPr>
              <w:t xml:space="preserve">Реквизиты заключения государственной историко-культурной экспертизы (дата, номер)/планируемая дата получения заключения государственной историко-культурной экспертизы (месяц, год) (указывается при необходимости проведения)</w:t>
            </w:r>
          </w:p>
        </w:tc>
        <w:tc>
          <w:tcPr>
            <w:tcW w:w="1531" w:type="dxa"/>
            <w:vMerge w:val="restart"/>
          </w:tcPr>
          <w:p>
            <w:pPr>
              <w:pStyle w:val="0"/>
              <w:jc w:val="center"/>
            </w:pPr>
            <w:r>
              <w:rPr>
                <w:sz w:val="20"/>
              </w:rPr>
              <w:t xml:space="preserve">Реквизиты заключения государственной экологической экспертизы (дата, номер)/планируемая дата получения заключения государственной экологической экспертизы (месяц, год) (указывается при необходимости проведения)</w:t>
            </w:r>
          </w:p>
        </w:tc>
        <w:tc>
          <w:tcPr>
            <w:tcW w:w="1531" w:type="dxa"/>
            <w:vMerge w:val="restart"/>
          </w:tcPr>
          <w:p>
            <w:pPr>
              <w:pStyle w:val="0"/>
              <w:jc w:val="center"/>
            </w:pPr>
            <w:r>
              <w:rPr>
                <w:sz w:val="20"/>
              </w:rPr>
              <w:t xml:space="preserve">Реквизиты положительного заключения государственной экспертизы проектной документации (дата, номер)/планируемая дата получения положительного заключения государственной экспертизы проектной документации (месяц, год)</w:t>
            </w:r>
          </w:p>
        </w:tc>
        <w:tc>
          <w:tcPr>
            <w:tcW w:w="2041" w:type="dxa"/>
            <w:vMerge w:val="restart"/>
          </w:tcPr>
          <w:p>
            <w:pPr>
              <w:pStyle w:val="0"/>
              <w:jc w:val="center"/>
            </w:pPr>
            <w:r>
              <w:rPr>
                <w:sz w:val="20"/>
              </w:rPr>
              <w:t xml:space="preserve">Реквизиты положительного заключения о достоверности определения сметной стоимости объекта капитального строительства (дата, номер)/планируемая дата получения положительного заключения о достоверности определения сметной стоимости объекта капитального строительства (месяц, год)</w:t>
            </w:r>
          </w:p>
        </w:tc>
      </w:tr>
      <w:tr>
        <w:tc>
          <w:tcPr>
            <w:tcW w:w="794" w:type="dxa"/>
            <w:vMerge w:val="restart"/>
          </w:tcPr>
          <w:p>
            <w:pPr>
              <w:pStyle w:val="0"/>
              <w:jc w:val="center"/>
            </w:pPr>
            <w:r>
              <w:rPr>
                <w:sz w:val="20"/>
              </w:rPr>
              <w:t xml:space="preserve">Утверждение документации по планировке территории</w:t>
            </w:r>
          </w:p>
        </w:tc>
        <w:tc>
          <w:tcPr>
            <w:tcW w:w="794" w:type="dxa"/>
            <w:vMerge w:val="restart"/>
          </w:tcPr>
          <w:p>
            <w:pPr>
              <w:pStyle w:val="0"/>
              <w:jc w:val="center"/>
            </w:pPr>
            <w:r>
              <w:rPr>
                <w:sz w:val="20"/>
              </w:rPr>
              <w:t xml:space="preserve">Предоставление земельного участка заказчику</w:t>
            </w:r>
          </w:p>
        </w:tc>
        <w:tc>
          <w:tcPr>
            <w:tcW w:w="1134" w:type="dxa"/>
            <w:vMerge w:val="restart"/>
          </w:tcPr>
          <w:p>
            <w:pPr>
              <w:pStyle w:val="0"/>
              <w:jc w:val="center"/>
            </w:pPr>
            <w:r>
              <w:rPr>
                <w:sz w:val="20"/>
              </w:rPr>
              <w:t xml:space="preserve">Утверждение контракта на проектирование</w:t>
            </w:r>
          </w:p>
        </w:tc>
        <w:tc>
          <w:tcPr>
            <w:gridSpan w:val="2"/>
            <w:vMerge w:val="continue"/>
          </w:tcPr>
          <w:p/>
        </w:tc>
        <w:tc>
          <w:tcPr>
            <w:gridSpan w:val="2"/>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1161" w:type="dxa"/>
          </w:tcPr>
          <w:p>
            <w:pPr>
              <w:pStyle w:val="0"/>
              <w:jc w:val="center"/>
            </w:pPr>
            <w:r>
              <w:rPr>
                <w:sz w:val="20"/>
              </w:rPr>
              <w:t xml:space="preserve">план</w:t>
            </w:r>
          </w:p>
        </w:tc>
        <w:tc>
          <w:tcPr>
            <w:tcW w:w="1162" w:type="dxa"/>
          </w:tcPr>
          <w:p>
            <w:pPr>
              <w:pStyle w:val="0"/>
              <w:jc w:val="center"/>
            </w:pPr>
            <w:r>
              <w:rPr>
                <w:sz w:val="20"/>
              </w:rPr>
              <w:t xml:space="preserve">факт</w:t>
            </w:r>
          </w:p>
        </w:tc>
        <w:tc>
          <w:tcPr>
            <w:tcW w:w="849" w:type="dxa"/>
          </w:tcPr>
          <w:p>
            <w:pPr>
              <w:pStyle w:val="0"/>
              <w:jc w:val="center"/>
            </w:pPr>
            <w:r>
              <w:rPr>
                <w:sz w:val="20"/>
              </w:rPr>
              <w:t xml:space="preserve">план</w:t>
            </w:r>
          </w:p>
        </w:tc>
        <w:tc>
          <w:tcPr>
            <w:tcW w:w="850" w:type="dxa"/>
          </w:tcPr>
          <w:p>
            <w:pPr>
              <w:pStyle w:val="0"/>
              <w:jc w:val="center"/>
            </w:pPr>
            <w:r>
              <w:rPr>
                <w:sz w:val="20"/>
              </w:rPr>
              <w:t xml:space="preserve">факт</w:t>
            </w:r>
          </w:p>
        </w:tc>
        <w:tc>
          <w:tcPr>
            <w:vMerge w:val="continue"/>
          </w:tcPr>
          <w:p/>
        </w:tc>
        <w:tc>
          <w:tcPr>
            <w:vMerge w:val="continue"/>
          </w:tcPr>
          <w:p/>
        </w:tc>
        <w:tc>
          <w:tcPr>
            <w:vMerge w:val="continue"/>
          </w:tcPr>
          <w:p/>
        </w:tc>
        <w:tc>
          <w:tcPr>
            <w:vMerge w:val="continue"/>
          </w:tcPr>
          <w:p/>
        </w:tc>
      </w:tr>
      <w:tr>
        <w:tc>
          <w:tcPr>
            <w:tcW w:w="794" w:type="dxa"/>
          </w:tcPr>
          <w:p>
            <w:pPr>
              <w:pStyle w:val="0"/>
              <w:jc w:val="center"/>
            </w:pPr>
            <w:r>
              <w:rPr>
                <w:sz w:val="20"/>
              </w:rPr>
              <w:t xml:space="preserve">25</w:t>
            </w:r>
          </w:p>
        </w:tc>
        <w:tc>
          <w:tcPr>
            <w:tcW w:w="794" w:type="dxa"/>
          </w:tcPr>
          <w:p>
            <w:pPr>
              <w:pStyle w:val="0"/>
              <w:jc w:val="center"/>
            </w:pPr>
            <w:r>
              <w:rPr>
                <w:sz w:val="20"/>
              </w:rPr>
              <w:t xml:space="preserve">26</w:t>
            </w:r>
          </w:p>
        </w:tc>
        <w:tc>
          <w:tcPr>
            <w:tcW w:w="1134" w:type="dxa"/>
          </w:tcPr>
          <w:p>
            <w:pPr>
              <w:pStyle w:val="0"/>
              <w:jc w:val="center"/>
            </w:pPr>
            <w:r>
              <w:rPr>
                <w:sz w:val="20"/>
              </w:rPr>
              <w:t xml:space="preserve">27</w:t>
            </w:r>
          </w:p>
        </w:tc>
        <w:tc>
          <w:tcPr>
            <w:tcW w:w="1161" w:type="dxa"/>
          </w:tcPr>
          <w:p>
            <w:pPr>
              <w:pStyle w:val="0"/>
              <w:jc w:val="center"/>
            </w:pPr>
            <w:r>
              <w:rPr>
                <w:sz w:val="20"/>
              </w:rPr>
              <w:t xml:space="preserve">28</w:t>
            </w:r>
          </w:p>
        </w:tc>
        <w:tc>
          <w:tcPr>
            <w:tcW w:w="1162" w:type="dxa"/>
          </w:tcPr>
          <w:p>
            <w:pPr>
              <w:pStyle w:val="0"/>
              <w:jc w:val="center"/>
            </w:pPr>
            <w:r>
              <w:rPr>
                <w:sz w:val="20"/>
              </w:rPr>
              <w:t xml:space="preserve">29</w:t>
            </w:r>
          </w:p>
        </w:tc>
        <w:tc>
          <w:tcPr>
            <w:tcW w:w="849" w:type="dxa"/>
          </w:tcPr>
          <w:p>
            <w:pPr>
              <w:pStyle w:val="0"/>
              <w:jc w:val="center"/>
            </w:pPr>
            <w:r>
              <w:rPr>
                <w:sz w:val="20"/>
              </w:rPr>
              <w:t xml:space="preserve">30</w:t>
            </w:r>
          </w:p>
        </w:tc>
        <w:tc>
          <w:tcPr>
            <w:tcW w:w="850" w:type="dxa"/>
          </w:tcPr>
          <w:p>
            <w:pPr>
              <w:pStyle w:val="0"/>
              <w:jc w:val="center"/>
            </w:pPr>
            <w:r>
              <w:rPr>
                <w:sz w:val="20"/>
              </w:rPr>
              <w:t xml:space="preserve">31</w:t>
            </w:r>
          </w:p>
        </w:tc>
        <w:tc>
          <w:tcPr>
            <w:tcW w:w="1644" w:type="dxa"/>
          </w:tcPr>
          <w:p>
            <w:pPr>
              <w:pStyle w:val="0"/>
              <w:jc w:val="center"/>
            </w:pPr>
            <w:r>
              <w:rPr>
                <w:sz w:val="20"/>
              </w:rPr>
              <w:t xml:space="preserve">32</w:t>
            </w:r>
          </w:p>
        </w:tc>
        <w:tc>
          <w:tcPr>
            <w:tcW w:w="1531" w:type="dxa"/>
          </w:tcPr>
          <w:p>
            <w:pPr>
              <w:pStyle w:val="0"/>
              <w:jc w:val="center"/>
            </w:pPr>
            <w:r>
              <w:rPr>
                <w:sz w:val="20"/>
              </w:rPr>
              <w:t xml:space="preserve">33</w:t>
            </w:r>
          </w:p>
        </w:tc>
        <w:tc>
          <w:tcPr>
            <w:tcW w:w="1531" w:type="dxa"/>
          </w:tcPr>
          <w:p>
            <w:pPr>
              <w:pStyle w:val="0"/>
              <w:jc w:val="center"/>
            </w:pPr>
            <w:r>
              <w:rPr>
                <w:sz w:val="20"/>
              </w:rPr>
              <w:t xml:space="preserve">34</w:t>
            </w:r>
          </w:p>
        </w:tc>
        <w:tc>
          <w:tcPr>
            <w:tcW w:w="2041" w:type="dxa"/>
          </w:tcPr>
          <w:p>
            <w:pPr>
              <w:pStyle w:val="0"/>
              <w:jc w:val="center"/>
            </w:pPr>
            <w:r>
              <w:rPr>
                <w:sz w:val="20"/>
              </w:rPr>
              <w:t xml:space="preserve">35</w:t>
            </w:r>
          </w:p>
        </w:tc>
      </w:tr>
      <w:tr>
        <w:tc>
          <w:tcPr>
            <w:tcW w:w="794"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161" w:type="dxa"/>
          </w:tcPr>
          <w:p>
            <w:pPr>
              <w:pStyle w:val="0"/>
            </w:pPr>
            <w:r>
              <w:rPr>
                <w:sz w:val="20"/>
              </w:rPr>
            </w:r>
          </w:p>
        </w:tc>
        <w:tc>
          <w:tcPr>
            <w:tcW w:w="1162" w:type="dxa"/>
          </w:tcPr>
          <w:p>
            <w:pPr>
              <w:pStyle w:val="0"/>
            </w:pPr>
            <w:r>
              <w:rPr>
                <w:sz w:val="20"/>
              </w:rPr>
            </w:r>
          </w:p>
        </w:tc>
        <w:tc>
          <w:tcPr>
            <w:tcW w:w="849" w:type="dxa"/>
          </w:tcPr>
          <w:p>
            <w:pPr>
              <w:pStyle w:val="0"/>
            </w:pPr>
            <w:r>
              <w:rPr>
                <w:sz w:val="20"/>
              </w:rPr>
            </w:r>
          </w:p>
        </w:tc>
        <w:tc>
          <w:tcPr>
            <w:tcW w:w="850" w:type="dxa"/>
          </w:tcPr>
          <w:p>
            <w:pPr>
              <w:pStyle w:val="0"/>
            </w:pPr>
            <w:r>
              <w:rPr>
                <w:sz w:val="20"/>
              </w:rPr>
            </w:r>
          </w:p>
        </w:tc>
        <w:tc>
          <w:tcPr>
            <w:tcW w:w="1644"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2041" w:type="dxa"/>
          </w:tcPr>
          <w:p>
            <w:pPr>
              <w:pStyle w:val="0"/>
            </w:pPr>
            <w:r>
              <w:rPr>
                <w:sz w:val="20"/>
              </w:rPr>
            </w:r>
          </w:p>
        </w:tc>
      </w:tr>
      <w:tr>
        <w:tc>
          <w:tcPr>
            <w:tcW w:w="794"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161" w:type="dxa"/>
          </w:tcPr>
          <w:p>
            <w:pPr>
              <w:pStyle w:val="0"/>
            </w:pPr>
            <w:r>
              <w:rPr>
                <w:sz w:val="20"/>
              </w:rPr>
            </w:r>
          </w:p>
        </w:tc>
        <w:tc>
          <w:tcPr>
            <w:tcW w:w="1162" w:type="dxa"/>
          </w:tcPr>
          <w:p>
            <w:pPr>
              <w:pStyle w:val="0"/>
            </w:pPr>
            <w:r>
              <w:rPr>
                <w:sz w:val="20"/>
              </w:rPr>
            </w:r>
          </w:p>
        </w:tc>
        <w:tc>
          <w:tcPr>
            <w:tcW w:w="849" w:type="dxa"/>
          </w:tcPr>
          <w:p>
            <w:pPr>
              <w:pStyle w:val="0"/>
            </w:pPr>
            <w:r>
              <w:rPr>
                <w:sz w:val="20"/>
              </w:rPr>
            </w:r>
          </w:p>
        </w:tc>
        <w:tc>
          <w:tcPr>
            <w:tcW w:w="850" w:type="dxa"/>
          </w:tcPr>
          <w:p>
            <w:pPr>
              <w:pStyle w:val="0"/>
            </w:pPr>
            <w:r>
              <w:rPr>
                <w:sz w:val="20"/>
              </w:rPr>
            </w:r>
          </w:p>
        </w:tc>
        <w:tc>
          <w:tcPr>
            <w:tcW w:w="1644"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2041" w:type="dxa"/>
          </w:tcPr>
          <w:p>
            <w:pPr>
              <w:pStyle w:val="0"/>
            </w:pPr>
            <w:r>
              <w:rPr>
                <w:sz w:val="20"/>
              </w:rPr>
            </w:r>
          </w:p>
        </w:tc>
      </w:tr>
    </w:tbl>
    <w:p>
      <w:pPr>
        <w:pStyle w:val="0"/>
        <w:ind w:firstLine="54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794"/>
        <w:gridCol w:w="794"/>
        <w:gridCol w:w="850"/>
        <w:gridCol w:w="1587"/>
        <w:gridCol w:w="624"/>
        <w:gridCol w:w="624"/>
        <w:gridCol w:w="624"/>
        <w:gridCol w:w="620"/>
        <w:gridCol w:w="624"/>
        <w:gridCol w:w="633"/>
        <w:gridCol w:w="794"/>
        <w:gridCol w:w="624"/>
        <w:gridCol w:w="794"/>
        <w:gridCol w:w="624"/>
        <w:gridCol w:w="794"/>
        <w:gridCol w:w="624"/>
        <w:gridCol w:w="794"/>
        <w:gridCol w:w="624"/>
      </w:tblGrid>
      <w:tr>
        <w:tc>
          <w:tcPr>
            <w:gridSpan w:val="2"/>
            <w:tcW w:w="1758" w:type="dxa"/>
            <w:vMerge w:val="restart"/>
          </w:tcPr>
          <w:p>
            <w:pPr>
              <w:pStyle w:val="0"/>
              <w:jc w:val="center"/>
            </w:pPr>
            <w:r>
              <w:rPr>
                <w:sz w:val="20"/>
              </w:rPr>
              <w:t xml:space="preserve">Стоимость строительства в соответствии с заключением о достоверности определения сметной стоимости объекта капитального строительства, тыс. рублей</w:t>
            </w:r>
          </w:p>
        </w:tc>
        <w:tc>
          <w:tcPr>
            <w:tcW w:w="794" w:type="dxa"/>
            <w:vMerge w:val="restart"/>
          </w:tcPr>
          <w:p>
            <w:pPr>
              <w:pStyle w:val="0"/>
              <w:jc w:val="center"/>
            </w:pPr>
            <w:r>
              <w:rPr>
                <w:sz w:val="20"/>
              </w:rPr>
              <w:t xml:space="preserve">Способ размещения государственной (муниципальной) закупки</w:t>
            </w:r>
          </w:p>
        </w:tc>
        <w:tc>
          <w:tcPr>
            <w:tcW w:w="850" w:type="dxa"/>
            <w:vMerge w:val="restart"/>
          </w:tcPr>
          <w:p>
            <w:pPr>
              <w:pStyle w:val="0"/>
              <w:jc w:val="center"/>
            </w:pPr>
            <w:r>
              <w:rPr>
                <w:sz w:val="20"/>
              </w:rPr>
              <w:t xml:space="preserve">Экономия, сложившаяся в результате проведения закупок, тыс. рублей</w:t>
            </w:r>
          </w:p>
        </w:tc>
        <w:tc>
          <w:tcPr>
            <w:tcW w:w="1587" w:type="dxa"/>
            <w:vMerge w:val="restart"/>
          </w:tcPr>
          <w:p>
            <w:pPr>
              <w:pStyle w:val="0"/>
              <w:jc w:val="center"/>
            </w:pPr>
            <w:r>
              <w:rPr>
                <w:sz w:val="20"/>
              </w:rPr>
              <w:t xml:space="preserve">Дата заключения контракта на проведение работ по строительству (реконструкции, том числе с элементами реставрации, техническому перевооружению) объекта (планируемый срок заключения)</w:t>
            </w:r>
          </w:p>
        </w:tc>
        <w:tc>
          <w:tcPr>
            <w:gridSpan w:val="14"/>
            <w:tcW w:w="9421" w:type="dxa"/>
          </w:tcPr>
          <w:p>
            <w:pPr>
              <w:pStyle w:val="0"/>
              <w:jc w:val="center"/>
            </w:pPr>
            <w:r>
              <w:rPr>
                <w:sz w:val="20"/>
              </w:rPr>
              <w:t xml:space="preserve">Стоимость строительства в соответствии с заключенным контрактом, тыс. рублей</w:t>
            </w:r>
          </w:p>
        </w:tc>
      </w:tr>
      <w:tr>
        <w:tc>
          <w:tcPr>
            <w:gridSpan w:val="2"/>
            <w:vMerge w:val="continue"/>
          </w:tcPr>
          <w:p/>
        </w:tc>
        <w:tc>
          <w:tcPr>
            <w:vMerge w:val="continue"/>
          </w:tcPr>
          <w:p/>
        </w:tc>
        <w:tc>
          <w:tcPr>
            <w:vMerge w:val="continue"/>
          </w:tcPr>
          <w:p/>
        </w:tc>
        <w:tc>
          <w:tcPr>
            <w:vMerge w:val="continue"/>
          </w:tcPr>
          <w:p/>
        </w:tc>
        <w:tc>
          <w:tcPr>
            <w:gridSpan w:val="6"/>
            <w:tcW w:w="3749" w:type="dxa"/>
          </w:tcPr>
          <w:p>
            <w:pPr>
              <w:pStyle w:val="0"/>
              <w:jc w:val="center"/>
            </w:pPr>
            <w:r>
              <w:rPr>
                <w:sz w:val="20"/>
              </w:rPr>
              <w:t xml:space="preserve">всего</w:t>
            </w:r>
          </w:p>
        </w:tc>
        <w:tc>
          <w:tcPr>
            <w:gridSpan w:val="8"/>
            <w:tcW w:w="5672" w:type="dxa"/>
          </w:tcPr>
          <w:p>
            <w:pPr>
              <w:pStyle w:val="0"/>
              <w:jc w:val="center"/>
            </w:pPr>
            <w:r>
              <w:rPr>
                <w:sz w:val="20"/>
              </w:rPr>
              <w:t xml:space="preserve">в том числе:</w:t>
            </w:r>
          </w:p>
        </w:tc>
      </w:tr>
      <w:tr>
        <w:tc>
          <w:tcPr>
            <w:tcW w:w="964" w:type="dxa"/>
            <w:vMerge w:val="restart"/>
          </w:tcPr>
          <w:p>
            <w:pPr>
              <w:pStyle w:val="0"/>
              <w:jc w:val="center"/>
            </w:pPr>
            <w:r>
              <w:rPr>
                <w:sz w:val="20"/>
              </w:rPr>
              <w:t xml:space="preserve">базисный уровень цен (2001 г.)</w:t>
            </w:r>
          </w:p>
        </w:tc>
        <w:tc>
          <w:tcPr>
            <w:tcW w:w="794" w:type="dxa"/>
            <w:vMerge w:val="restart"/>
          </w:tcPr>
          <w:p>
            <w:pPr>
              <w:pStyle w:val="0"/>
              <w:jc w:val="center"/>
            </w:pPr>
            <w:r>
              <w:rPr>
                <w:sz w:val="20"/>
              </w:rPr>
              <w:t xml:space="preserve">текущий уровень цен</w:t>
            </w:r>
          </w:p>
        </w:tc>
        <w:tc>
          <w:tcPr>
            <w:vMerge w:val="continue"/>
          </w:tcPr>
          <w:p/>
        </w:tc>
        <w:tc>
          <w:tcPr>
            <w:vMerge w:val="continue"/>
          </w:tcPr>
          <w:p/>
        </w:tc>
        <w:tc>
          <w:tcPr>
            <w:vMerge w:val="continue"/>
          </w:tcPr>
          <w:p/>
        </w:tc>
        <w:tc>
          <w:tcPr>
            <w:gridSpan w:val="3"/>
            <w:tcW w:w="1872" w:type="dxa"/>
          </w:tcPr>
          <w:p>
            <w:pPr>
              <w:pStyle w:val="0"/>
              <w:jc w:val="center"/>
            </w:pPr>
            <w:r>
              <w:rPr>
                <w:sz w:val="20"/>
              </w:rPr>
              <w:t xml:space="preserve">базисный уровень цен (2001 г.)</w:t>
            </w:r>
          </w:p>
        </w:tc>
        <w:tc>
          <w:tcPr>
            <w:gridSpan w:val="3"/>
            <w:tcW w:w="1877" w:type="dxa"/>
          </w:tcPr>
          <w:p>
            <w:pPr>
              <w:pStyle w:val="0"/>
              <w:jc w:val="center"/>
            </w:pPr>
            <w:r>
              <w:rPr>
                <w:sz w:val="20"/>
              </w:rPr>
              <w:t xml:space="preserve">текущий уровень цен</w:t>
            </w:r>
          </w:p>
        </w:tc>
        <w:tc>
          <w:tcPr>
            <w:gridSpan w:val="2"/>
            <w:tcW w:w="1418" w:type="dxa"/>
          </w:tcPr>
          <w:p>
            <w:pPr>
              <w:pStyle w:val="0"/>
              <w:jc w:val="center"/>
            </w:pPr>
            <w:r>
              <w:rPr>
                <w:sz w:val="20"/>
              </w:rPr>
              <w:t xml:space="preserve">федеральный бюджет</w:t>
            </w:r>
          </w:p>
        </w:tc>
        <w:tc>
          <w:tcPr>
            <w:gridSpan w:val="2"/>
            <w:tcW w:w="1418" w:type="dxa"/>
          </w:tcPr>
          <w:p>
            <w:pPr>
              <w:pStyle w:val="0"/>
              <w:jc w:val="center"/>
            </w:pPr>
            <w:r>
              <w:rPr>
                <w:sz w:val="20"/>
              </w:rPr>
              <w:t xml:space="preserve">бюджет субъекта Российской Федерации</w:t>
            </w:r>
          </w:p>
        </w:tc>
        <w:tc>
          <w:tcPr>
            <w:gridSpan w:val="2"/>
            <w:tcW w:w="1418" w:type="dxa"/>
          </w:tcPr>
          <w:p>
            <w:pPr>
              <w:pStyle w:val="0"/>
              <w:jc w:val="center"/>
            </w:pPr>
            <w:r>
              <w:rPr>
                <w:sz w:val="20"/>
              </w:rPr>
              <w:t xml:space="preserve">местный бюджет</w:t>
            </w:r>
          </w:p>
        </w:tc>
        <w:tc>
          <w:tcPr>
            <w:gridSpan w:val="2"/>
            <w:tcW w:w="1418" w:type="dxa"/>
          </w:tcPr>
          <w:p>
            <w:pPr>
              <w:pStyle w:val="0"/>
              <w:jc w:val="center"/>
            </w:pPr>
            <w:r>
              <w:rPr>
                <w:sz w:val="20"/>
              </w:rPr>
              <w:t xml:space="preserve">внебюджетные источники</w:t>
            </w:r>
          </w:p>
        </w:tc>
      </w:tr>
      <w:tr>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20__ г.</w:t>
            </w:r>
          </w:p>
        </w:tc>
        <w:tc>
          <w:tcPr>
            <w:tcW w:w="624" w:type="dxa"/>
          </w:tcPr>
          <w:p>
            <w:pPr>
              <w:pStyle w:val="0"/>
              <w:jc w:val="center"/>
            </w:pPr>
            <w:r>
              <w:rPr>
                <w:sz w:val="20"/>
              </w:rPr>
              <w:t xml:space="preserve">20__ г.</w:t>
            </w:r>
          </w:p>
        </w:tc>
        <w:tc>
          <w:tcPr>
            <w:tcW w:w="624" w:type="dxa"/>
          </w:tcPr>
          <w:p>
            <w:pPr>
              <w:pStyle w:val="0"/>
              <w:jc w:val="center"/>
            </w:pPr>
            <w:r>
              <w:rPr>
                <w:sz w:val="20"/>
              </w:rPr>
              <w:t xml:space="preserve">20__ г.</w:t>
            </w:r>
          </w:p>
        </w:tc>
        <w:tc>
          <w:tcPr>
            <w:tcW w:w="620" w:type="dxa"/>
          </w:tcPr>
          <w:p>
            <w:pPr>
              <w:pStyle w:val="0"/>
              <w:jc w:val="center"/>
            </w:pPr>
            <w:r>
              <w:rPr>
                <w:sz w:val="20"/>
              </w:rPr>
              <w:t xml:space="preserve">20__ г.</w:t>
            </w:r>
          </w:p>
        </w:tc>
        <w:tc>
          <w:tcPr>
            <w:tcW w:w="624" w:type="dxa"/>
          </w:tcPr>
          <w:p>
            <w:pPr>
              <w:pStyle w:val="0"/>
              <w:jc w:val="center"/>
            </w:pPr>
            <w:r>
              <w:rPr>
                <w:sz w:val="20"/>
              </w:rPr>
              <w:t xml:space="preserve">20__ г.</w:t>
            </w:r>
          </w:p>
        </w:tc>
        <w:tc>
          <w:tcPr>
            <w:tcW w:w="633" w:type="dxa"/>
          </w:tcPr>
          <w:p>
            <w:pPr>
              <w:pStyle w:val="0"/>
              <w:jc w:val="center"/>
            </w:pPr>
            <w:r>
              <w:rPr>
                <w:sz w:val="20"/>
              </w:rPr>
              <w:t xml:space="preserve">20__ г</w:t>
            </w:r>
          </w:p>
        </w:tc>
        <w:tc>
          <w:tcPr>
            <w:tcW w:w="794" w:type="dxa"/>
          </w:tcPr>
          <w:p>
            <w:pPr>
              <w:pStyle w:val="0"/>
              <w:jc w:val="center"/>
            </w:pPr>
            <w:r>
              <w:rPr>
                <w:sz w:val="20"/>
              </w:rPr>
              <w:t xml:space="preserve">базисный уровень цен (2001 г.)</w:t>
            </w:r>
          </w:p>
        </w:tc>
        <w:tc>
          <w:tcPr>
            <w:tcW w:w="624" w:type="dxa"/>
          </w:tcPr>
          <w:p>
            <w:pPr>
              <w:pStyle w:val="0"/>
              <w:jc w:val="center"/>
            </w:pPr>
            <w:r>
              <w:rPr>
                <w:sz w:val="20"/>
              </w:rPr>
              <w:t xml:space="preserve">текущий уровень цен</w:t>
            </w:r>
          </w:p>
        </w:tc>
        <w:tc>
          <w:tcPr>
            <w:tcW w:w="794" w:type="dxa"/>
          </w:tcPr>
          <w:p>
            <w:pPr>
              <w:pStyle w:val="0"/>
              <w:jc w:val="center"/>
            </w:pPr>
            <w:r>
              <w:rPr>
                <w:sz w:val="20"/>
              </w:rPr>
              <w:t xml:space="preserve">базисный уровень цен (2001 г.)</w:t>
            </w:r>
          </w:p>
        </w:tc>
        <w:tc>
          <w:tcPr>
            <w:tcW w:w="624" w:type="dxa"/>
          </w:tcPr>
          <w:p>
            <w:pPr>
              <w:pStyle w:val="0"/>
              <w:jc w:val="center"/>
            </w:pPr>
            <w:r>
              <w:rPr>
                <w:sz w:val="20"/>
              </w:rPr>
              <w:t xml:space="preserve">текущий уровень цен</w:t>
            </w:r>
          </w:p>
        </w:tc>
        <w:tc>
          <w:tcPr>
            <w:tcW w:w="794" w:type="dxa"/>
          </w:tcPr>
          <w:p>
            <w:pPr>
              <w:pStyle w:val="0"/>
              <w:jc w:val="center"/>
            </w:pPr>
            <w:r>
              <w:rPr>
                <w:sz w:val="20"/>
              </w:rPr>
              <w:t xml:space="preserve">базисный уровень цен (2001 г.)</w:t>
            </w:r>
          </w:p>
        </w:tc>
        <w:tc>
          <w:tcPr>
            <w:tcW w:w="624" w:type="dxa"/>
          </w:tcPr>
          <w:p>
            <w:pPr>
              <w:pStyle w:val="0"/>
              <w:jc w:val="center"/>
            </w:pPr>
            <w:r>
              <w:rPr>
                <w:sz w:val="20"/>
              </w:rPr>
              <w:t xml:space="preserve">текущий уровень цен</w:t>
            </w:r>
          </w:p>
        </w:tc>
        <w:tc>
          <w:tcPr>
            <w:tcW w:w="794" w:type="dxa"/>
          </w:tcPr>
          <w:p>
            <w:pPr>
              <w:pStyle w:val="0"/>
              <w:jc w:val="center"/>
            </w:pPr>
            <w:r>
              <w:rPr>
                <w:sz w:val="20"/>
              </w:rPr>
              <w:t xml:space="preserve">базисный уровень цен (2001 г.)</w:t>
            </w:r>
          </w:p>
        </w:tc>
        <w:tc>
          <w:tcPr>
            <w:tcW w:w="624" w:type="dxa"/>
          </w:tcPr>
          <w:p>
            <w:pPr>
              <w:pStyle w:val="0"/>
              <w:jc w:val="center"/>
            </w:pPr>
            <w:r>
              <w:rPr>
                <w:sz w:val="20"/>
              </w:rPr>
              <w:t xml:space="preserve">текущий уровень цен</w:t>
            </w:r>
          </w:p>
        </w:tc>
      </w:tr>
      <w:tr>
        <w:tc>
          <w:tcPr>
            <w:tcW w:w="964" w:type="dxa"/>
          </w:tcPr>
          <w:p>
            <w:pPr>
              <w:pStyle w:val="0"/>
              <w:jc w:val="center"/>
            </w:pPr>
            <w:r>
              <w:rPr>
                <w:sz w:val="20"/>
              </w:rPr>
              <w:t xml:space="preserve">36</w:t>
            </w:r>
          </w:p>
        </w:tc>
        <w:tc>
          <w:tcPr>
            <w:tcW w:w="794" w:type="dxa"/>
          </w:tcPr>
          <w:p>
            <w:pPr>
              <w:pStyle w:val="0"/>
              <w:jc w:val="center"/>
            </w:pPr>
            <w:r>
              <w:rPr>
                <w:sz w:val="20"/>
              </w:rPr>
              <w:t xml:space="preserve">37</w:t>
            </w:r>
          </w:p>
        </w:tc>
        <w:tc>
          <w:tcPr>
            <w:tcW w:w="794" w:type="dxa"/>
          </w:tcPr>
          <w:p>
            <w:pPr>
              <w:pStyle w:val="0"/>
              <w:jc w:val="center"/>
            </w:pPr>
            <w:r>
              <w:rPr>
                <w:sz w:val="20"/>
              </w:rPr>
              <w:t xml:space="preserve">38</w:t>
            </w:r>
          </w:p>
        </w:tc>
        <w:tc>
          <w:tcPr>
            <w:tcW w:w="850" w:type="dxa"/>
          </w:tcPr>
          <w:p>
            <w:pPr>
              <w:pStyle w:val="0"/>
              <w:jc w:val="center"/>
            </w:pPr>
            <w:r>
              <w:rPr>
                <w:sz w:val="20"/>
              </w:rPr>
              <w:t xml:space="preserve">39</w:t>
            </w:r>
          </w:p>
        </w:tc>
        <w:tc>
          <w:tcPr>
            <w:tcW w:w="1587" w:type="dxa"/>
          </w:tcPr>
          <w:p>
            <w:pPr>
              <w:pStyle w:val="0"/>
              <w:jc w:val="center"/>
            </w:pPr>
            <w:r>
              <w:rPr>
                <w:sz w:val="20"/>
              </w:rPr>
              <w:t xml:space="preserve">40</w:t>
            </w:r>
          </w:p>
        </w:tc>
        <w:tc>
          <w:tcPr>
            <w:tcW w:w="624" w:type="dxa"/>
          </w:tcPr>
          <w:p>
            <w:pPr>
              <w:pStyle w:val="0"/>
              <w:jc w:val="center"/>
            </w:pPr>
            <w:r>
              <w:rPr>
                <w:sz w:val="20"/>
              </w:rPr>
              <w:t xml:space="preserve">41</w:t>
            </w:r>
          </w:p>
        </w:tc>
        <w:tc>
          <w:tcPr>
            <w:tcW w:w="624" w:type="dxa"/>
          </w:tcPr>
          <w:p>
            <w:pPr>
              <w:pStyle w:val="0"/>
              <w:jc w:val="center"/>
            </w:pPr>
            <w:r>
              <w:rPr>
                <w:sz w:val="20"/>
              </w:rPr>
              <w:t xml:space="preserve">42</w:t>
            </w:r>
          </w:p>
        </w:tc>
        <w:tc>
          <w:tcPr>
            <w:tcW w:w="624" w:type="dxa"/>
          </w:tcPr>
          <w:p>
            <w:pPr>
              <w:pStyle w:val="0"/>
              <w:jc w:val="center"/>
            </w:pPr>
            <w:r>
              <w:rPr>
                <w:sz w:val="20"/>
              </w:rPr>
              <w:t xml:space="preserve">43</w:t>
            </w:r>
          </w:p>
        </w:tc>
        <w:tc>
          <w:tcPr>
            <w:tcW w:w="620" w:type="dxa"/>
          </w:tcPr>
          <w:p>
            <w:pPr>
              <w:pStyle w:val="0"/>
              <w:jc w:val="center"/>
            </w:pPr>
            <w:r>
              <w:rPr>
                <w:sz w:val="20"/>
              </w:rPr>
              <w:t xml:space="preserve">44</w:t>
            </w:r>
          </w:p>
        </w:tc>
        <w:tc>
          <w:tcPr>
            <w:tcW w:w="624" w:type="dxa"/>
          </w:tcPr>
          <w:p>
            <w:pPr>
              <w:pStyle w:val="0"/>
              <w:jc w:val="center"/>
            </w:pPr>
            <w:r>
              <w:rPr>
                <w:sz w:val="20"/>
              </w:rPr>
              <w:t xml:space="preserve">45</w:t>
            </w:r>
          </w:p>
        </w:tc>
        <w:tc>
          <w:tcPr>
            <w:tcW w:w="633" w:type="dxa"/>
          </w:tcPr>
          <w:p>
            <w:pPr>
              <w:pStyle w:val="0"/>
              <w:jc w:val="center"/>
            </w:pPr>
            <w:r>
              <w:rPr>
                <w:sz w:val="20"/>
              </w:rPr>
              <w:t xml:space="preserve">46</w:t>
            </w:r>
          </w:p>
        </w:tc>
        <w:tc>
          <w:tcPr>
            <w:tcW w:w="794" w:type="dxa"/>
          </w:tcPr>
          <w:p>
            <w:pPr>
              <w:pStyle w:val="0"/>
              <w:jc w:val="center"/>
            </w:pPr>
            <w:r>
              <w:rPr>
                <w:sz w:val="20"/>
              </w:rPr>
              <w:t xml:space="preserve">47</w:t>
            </w:r>
          </w:p>
        </w:tc>
        <w:tc>
          <w:tcPr>
            <w:tcW w:w="624" w:type="dxa"/>
          </w:tcPr>
          <w:p>
            <w:pPr>
              <w:pStyle w:val="0"/>
              <w:jc w:val="center"/>
            </w:pPr>
            <w:r>
              <w:rPr>
                <w:sz w:val="20"/>
              </w:rPr>
              <w:t xml:space="preserve">48</w:t>
            </w:r>
          </w:p>
        </w:tc>
        <w:tc>
          <w:tcPr>
            <w:tcW w:w="794" w:type="dxa"/>
          </w:tcPr>
          <w:p>
            <w:pPr>
              <w:pStyle w:val="0"/>
              <w:jc w:val="center"/>
            </w:pPr>
            <w:r>
              <w:rPr>
                <w:sz w:val="20"/>
              </w:rPr>
              <w:t xml:space="preserve">49</w:t>
            </w:r>
          </w:p>
        </w:tc>
        <w:tc>
          <w:tcPr>
            <w:tcW w:w="624" w:type="dxa"/>
          </w:tcPr>
          <w:p>
            <w:pPr>
              <w:pStyle w:val="0"/>
              <w:jc w:val="center"/>
            </w:pPr>
            <w:r>
              <w:rPr>
                <w:sz w:val="20"/>
              </w:rPr>
              <w:t xml:space="preserve">50</w:t>
            </w:r>
          </w:p>
        </w:tc>
        <w:tc>
          <w:tcPr>
            <w:tcW w:w="794" w:type="dxa"/>
          </w:tcPr>
          <w:p>
            <w:pPr>
              <w:pStyle w:val="0"/>
              <w:jc w:val="center"/>
            </w:pPr>
            <w:r>
              <w:rPr>
                <w:sz w:val="20"/>
              </w:rPr>
              <w:t xml:space="preserve">51</w:t>
            </w:r>
          </w:p>
        </w:tc>
        <w:tc>
          <w:tcPr>
            <w:tcW w:w="624" w:type="dxa"/>
          </w:tcPr>
          <w:p>
            <w:pPr>
              <w:pStyle w:val="0"/>
              <w:jc w:val="center"/>
            </w:pPr>
            <w:r>
              <w:rPr>
                <w:sz w:val="20"/>
              </w:rPr>
              <w:t xml:space="preserve">52</w:t>
            </w:r>
          </w:p>
        </w:tc>
        <w:tc>
          <w:tcPr>
            <w:tcW w:w="794" w:type="dxa"/>
          </w:tcPr>
          <w:p>
            <w:pPr>
              <w:pStyle w:val="0"/>
              <w:jc w:val="center"/>
            </w:pPr>
            <w:r>
              <w:rPr>
                <w:sz w:val="20"/>
              </w:rPr>
              <w:t xml:space="preserve">53</w:t>
            </w:r>
          </w:p>
        </w:tc>
        <w:tc>
          <w:tcPr>
            <w:tcW w:w="624" w:type="dxa"/>
          </w:tcPr>
          <w:p>
            <w:pPr>
              <w:pStyle w:val="0"/>
              <w:jc w:val="center"/>
            </w:pPr>
            <w:r>
              <w:rPr>
                <w:sz w:val="20"/>
              </w:rPr>
              <w:t xml:space="preserve">54</w:t>
            </w:r>
          </w:p>
        </w:tc>
      </w:tr>
      <w:tr>
        <w:tc>
          <w:tcPr>
            <w:tcW w:w="96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0" w:type="dxa"/>
          </w:tcPr>
          <w:p>
            <w:pPr>
              <w:pStyle w:val="0"/>
            </w:pPr>
            <w:r>
              <w:rPr>
                <w:sz w:val="20"/>
              </w:rPr>
            </w:r>
          </w:p>
        </w:tc>
        <w:tc>
          <w:tcPr>
            <w:tcW w:w="624" w:type="dxa"/>
          </w:tcPr>
          <w:p>
            <w:pPr>
              <w:pStyle w:val="0"/>
            </w:pPr>
            <w:r>
              <w:rPr>
                <w:sz w:val="20"/>
              </w:rPr>
            </w:r>
          </w:p>
        </w:tc>
        <w:tc>
          <w:tcPr>
            <w:tcW w:w="633"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r>
      <w:tr>
        <w:tc>
          <w:tcPr>
            <w:tcW w:w="96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0" w:type="dxa"/>
          </w:tcPr>
          <w:p>
            <w:pPr>
              <w:pStyle w:val="0"/>
            </w:pPr>
            <w:r>
              <w:rPr>
                <w:sz w:val="20"/>
              </w:rPr>
            </w:r>
          </w:p>
        </w:tc>
        <w:tc>
          <w:tcPr>
            <w:tcW w:w="624" w:type="dxa"/>
          </w:tcPr>
          <w:p>
            <w:pPr>
              <w:pStyle w:val="0"/>
            </w:pPr>
            <w:r>
              <w:rPr>
                <w:sz w:val="20"/>
              </w:rPr>
            </w:r>
          </w:p>
        </w:tc>
        <w:tc>
          <w:tcPr>
            <w:tcW w:w="633"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r>
    </w:tbl>
    <w:p>
      <w:pPr>
        <w:pStyle w:val="0"/>
        <w:ind w:firstLine="54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67"/>
        <w:gridCol w:w="624"/>
        <w:gridCol w:w="567"/>
        <w:gridCol w:w="624"/>
        <w:gridCol w:w="567"/>
        <w:gridCol w:w="624"/>
        <w:gridCol w:w="567"/>
        <w:gridCol w:w="624"/>
        <w:gridCol w:w="567"/>
        <w:gridCol w:w="624"/>
        <w:gridCol w:w="567"/>
        <w:gridCol w:w="624"/>
        <w:gridCol w:w="567"/>
        <w:gridCol w:w="624"/>
        <w:gridCol w:w="567"/>
        <w:gridCol w:w="624"/>
        <w:gridCol w:w="624"/>
        <w:gridCol w:w="1728"/>
        <w:gridCol w:w="1728"/>
        <w:gridCol w:w="680"/>
        <w:gridCol w:w="624"/>
      </w:tblGrid>
      <w:tr>
        <w:tc>
          <w:tcPr>
            <w:gridSpan w:val="8"/>
            <w:tcW w:w="4764" w:type="dxa"/>
          </w:tcPr>
          <w:p>
            <w:pPr>
              <w:pStyle w:val="0"/>
              <w:jc w:val="center"/>
            </w:pPr>
            <w:r>
              <w:rPr>
                <w:sz w:val="20"/>
              </w:rPr>
              <w:t xml:space="preserve">Строительство</w:t>
            </w:r>
          </w:p>
        </w:tc>
        <w:tc>
          <w:tcPr>
            <w:gridSpan w:val="6"/>
            <w:tcW w:w="3573" w:type="dxa"/>
          </w:tcPr>
          <w:p>
            <w:pPr>
              <w:pStyle w:val="0"/>
              <w:jc w:val="center"/>
            </w:pPr>
            <w:r>
              <w:rPr>
                <w:sz w:val="20"/>
              </w:rPr>
              <w:t xml:space="preserve">Оборудование</w:t>
            </w:r>
          </w:p>
        </w:tc>
        <w:tc>
          <w:tcPr>
            <w:gridSpan w:val="4"/>
            <w:tcW w:w="2439" w:type="dxa"/>
          </w:tcPr>
          <w:p>
            <w:pPr>
              <w:pStyle w:val="0"/>
              <w:jc w:val="center"/>
            </w:pPr>
            <w:r>
              <w:rPr>
                <w:sz w:val="20"/>
              </w:rPr>
              <w:t xml:space="preserve">Техническая готовность объекта капитального строительства на конец отчетного периода, %</w:t>
            </w:r>
          </w:p>
        </w:tc>
        <w:tc>
          <w:tcPr>
            <w:gridSpan w:val="2"/>
            <w:tcW w:w="3456" w:type="dxa"/>
            <w:vMerge w:val="restart"/>
          </w:tcPr>
          <w:p>
            <w:pPr>
              <w:pStyle w:val="0"/>
              <w:jc w:val="center"/>
            </w:pPr>
            <w:r>
              <w:rPr>
                <w:sz w:val="20"/>
              </w:rPr>
              <w:t xml:space="preserve">Планируемая дата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(месяц, год) (заполняется в случае необходимости получения)</w:t>
            </w:r>
          </w:p>
        </w:tc>
        <w:tc>
          <w:tcPr>
            <w:gridSpan w:val="2"/>
            <w:tcW w:w="1304" w:type="dxa"/>
            <w:vMerge w:val="restart"/>
          </w:tcPr>
          <w:p>
            <w:pPr>
              <w:pStyle w:val="0"/>
              <w:jc w:val="center"/>
            </w:pPr>
            <w:r>
              <w:rPr>
                <w:sz w:val="20"/>
              </w:rPr>
              <w:t xml:space="preserve">Срок ввода объекта в эксплуатацию в соответствии с заключенным контрактом</w:t>
            </w:r>
          </w:p>
        </w:tc>
      </w:tr>
      <w:tr>
        <w:tc>
          <w:tcPr>
            <w:gridSpan w:val="2"/>
            <w:tcW w:w="1191" w:type="dxa"/>
            <w:vMerge w:val="restart"/>
          </w:tcPr>
          <w:p>
            <w:pPr>
              <w:pStyle w:val="0"/>
              <w:jc w:val="center"/>
            </w:pPr>
            <w:r>
              <w:rPr>
                <w:sz w:val="20"/>
              </w:rPr>
              <w:t xml:space="preserve">получение разрешения на строительство, реконструкцию</w:t>
            </w:r>
          </w:p>
        </w:tc>
        <w:tc>
          <w:tcPr>
            <w:gridSpan w:val="2"/>
            <w:tcW w:w="1191" w:type="dxa"/>
            <w:vMerge w:val="restart"/>
          </w:tcPr>
          <w:p>
            <w:pPr>
              <w:pStyle w:val="0"/>
              <w:jc w:val="center"/>
            </w:pPr>
            <w:r>
              <w:rPr>
                <w:sz w:val="20"/>
              </w:rPr>
              <w:t xml:space="preserve">начало подготовительных работ</w:t>
            </w:r>
          </w:p>
        </w:tc>
        <w:tc>
          <w:tcPr>
            <w:gridSpan w:val="4"/>
            <w:tcW w:w="2382" w:type="dxa"/>
          </w:tcPr>
          <w:p>
            <w:pPr>
              <w:pStyle w:val="0"/>
              <w:jc w:val="center"/>
            </w:pPr>
            <w:r>
              <w:rPr>
                <w:sz w:val="20"/>
              </w:rPr>
              <w:t xml:space="preserve">строительно-монтажные работы</w:t>
            </w:r>
          </w:p>
        </w:tc>
        <w:tc>
          <w:tcPr>
            <w:gridSpan w:val="2"/>
            <w:tcW w:w="1191" w:type="dxa"/>
            <w:vMerge w:val="restart"/>
          </w:tcPr>
          <w:p>
            <w:pPr>
              <w:pStyle w:val="0"/>
              <w:jc w:val="center"/>
            </w:pPr>
            <w:r>
              <w:rPr>
                <w:sz w:val="20"/>
              </w:rPr>
              <w:t xml:space="preserve">сроки приобретения</w:t>
            </w:r>
          </w:p>
        </w:tc>
        <w:tc>
          <w:tcPr>
            <w:gridSpan w:val="2"/>
            <w:tcW w:w="1191" w:type="dxa"/>
            <w:vMerge w:val="restart"/>
          </w:tcPr>
          <w:p>
            <w:pPr>
              <w:pStyle w:val="0"/>
              <w:jc w:val="center"/>
            </w:pPr>
            <w:r>
              <w:rPr>
                <w:sz w:val="20"/>
              </w:rPr>
              <w:t xml:space="preserve">сроки установки</w:t>
            </w:r>
          </w:p>
        </w:tc>
        <w:tc>
          <w:tcPr>
            <w:gridSpan w:val="2"/>
            <w:tcW w:w="1191" w:type="dxa"/>
            <w:vMerge w:val="restart"/>
          </w:tcPr>
          <w:p>
            <w:pPr>
              <w:pStyle w:val="0"/>
              <w:jc w:val="center"/>
            </w:pPr>
            <w:r>
              <w:rPr>
                <w:sz w:val="20"/>
              </w:rPr>
              <w:t xml:space="preserve">срок ввода</w:t>
            </w:r>
          </w:p>
        </w:tc>
        <w:tc>
          <w:tcPr>
            <w:gridSpan w:val="2"/>
            <w:tcW w:w="1191" w:type="dxa"/>
            <w:vMerge w:val="restart"/>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c>
          <w:tcPr>
            <w:gridSpan w:val="2"/>
            <w:vMerge w:val="continue"/>
          </w:tcPr>
          <w:p/>
        </w:tc>
        <w:tc>
          <w:tcPr>
            <w:gridSpan w:val="2"/>
            <w:vMerge w:val="continue"/>
          </w:tcPr>
          <w:p/>
        </w:tc>
      </w:tr>
      <w:tr>
        <w:tc>
          <w:tcPr>
            <w:gridSpan w:val="2"/>
            <w:vMerge w:val="continue"/>
          </w:tcPr>
          <w:p/>
        </w:tc>
        <w:tc>
          <w:tcPr>
            <w:gridSpan w:val="2"/>
            <w:vMerge w:val="continue"/>
          </w:tcPr>
          <w:p/>
        </w:tc>
        <w:tc>
          <w:tcPr>
            <w:gridSpan w:val="2"/>
            <w:tcW w:w="1191" w:type="dxa"/>
          </w:tcPr>
          <w:p>
            <w:pPr>
              <w:pStyle w:val="0"/>
              <w:jc w:val="center"/>
            </w:pPr>
            <w:r>
              <w:rPr>
                <w:sz w:val="20"/>
              </w:rPr>
              <w:t xml:space="preserve">начало</w:t>
            </w:r>
          </w:p>
        </w:tc>
        <w:tc>
          <w:tcPr>
            <w:gridSpan w:val="2"/>
            <w:tcW w:w="1191" w:type="dxa"/>
          </w:tcPr>
          <w:p>
            <w:pPr>
              <w:pStyle w:val="0"/>
              <w:jc w:val="center"/>
            </w:pPr>
            <w:r>
              <w:rPr>
                <w:sz w:val="20"/>
              </w:rPr>
              <w:t xml:space="preserve">окончание</w:t>
            </w:r>
          </w:p>
        </w:tc>
        <w:tc>
          <w:tcPr>
            <w:gridSpan w:val="2"/>
            <w:vMerge w:val="continue"/>
          </w:tcPr>
          <w:p/>
        </w:tc>
        <w:tc>
          <w:tcPr>
            <w:gridSpan w:val="2"/>
            <w:vMerge w:val="continue"/>
          </w:tcPr>
          <w:p/>
        </w:tc>
        <w:tc>
          <w:tcPr>
            <w:gridSpan w:val="2"/>
            <w:vMerge w:val="continue"/>
          </w:tcPr>
          <w:p/>
        </w:tc>
        <w:tc>
          <w:tcPr>
            <w:gridSpan w:val="2"/>
            <w:vMerge w:val="continue"/>
          </w:tcPr>
          <w:p/>
        </w:tc>
        <w:tc>
          <w:tcPr>
            <w:tcW w:w="624" w:type="dxa"/>
          </w:tcPr>
          <w:p>
            <w:pPr>
              <w:pStyle w:val="0"/>
              <w:jc w:val="center"/>
            </w:pPr>
            <w:r>
              <w:rPr>
                <w:sz w:val="20"/>
              </w:rPr>
              <w:t xml:space="preserve">20__ г.</w:t>
            </w:r>
          </w:p>
        </w:tc>
        <w:tc>
          <w:tcPr>
            <w:tcW w:w="624" w:type="dxa"/>
          </w:tcPr>
          <w:p>
            <w:pPr>
              <w:pStyle w:val="0"/>
              <w:jc w:val="center"/>
            </w:pPr>
            <w:r>
              <w:rPr>
                <w:sz w:val="20"/>
              </w:rPr>
              <w:t xml:space="preserve">20__ г.</w:t>
            </w:r>
          </w:p>
        </w:tc>
        <w:tc>
          <w:tcPr>
            <w:gridSpan w:val="2"/>
            <w:vMerge w:val="continue"/>
          </w:tcPr>
          <w:p/>
        </w:tc>
        <w:tc>
          <w:tcPr>
            <w:gridSpan w:val="2"/>
            <w:vMerge w:val="continue"/>
          </w:tcPr>
          <w:p/>
        </w:tc>
      </w:tr>
      <w:tr>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pPr>
            <w:r>
              <w:rPr>
                <w:sz w:val="20"/>
              </w:rPr>
            </w:r>
          </w:p>
        </w:tc>
        <w:tc>
          <w:tcPr>
            <w:tcW w:w="624" w:type="dxa"/>
          </w:tcPr>
          <w:p>
            <w:pPr>
              <w:pStyle w:val="0"/>
            </w:pPr>
            <w:r>
              <w:rPr>
                <w:sz w:val="20"/>
              </w:rPr>
            </w:r>
          </w:p>
        </w:tc>
        <w:tc>
          <w:tcPr>
            <w:tcW w:w="1728" w:type="dxa"/>
          </w:tcPr>
          <w:p>
            <w:pPr>
              <w:pStyle w:val="0"/>
              <w:jc w:val="center"/>
            </w:pPr>
            <w:r>
              <w:rPr>
                <w:sz w:val="20"/>
              </w:rPr>
              <w:t xml:space="preserve">план</w:t>
            </w:r>
          </w:p>
        </w:tc>
        <w:tc>
          <w:tcPr>
            <w:tcW w:w="1728" w:type="dxa"/>
          </w:tcPr>
          <w:p>
            <w:pPr>
              <w:pStyle w:val="0"/>
              <w:jc w:val="center"/>
            </w:pPr>
            <w:r>
              <w:rPr>
                <w:sz w:val="20"/>
              </w:rPr>
              <w:t xml:space="preserve">факт</w:t>
            </w:r>
          </w:p>
        </w:tc>
        <w:tc>
          <w:tcPr>
            <w:tcW w:w="680" w:type="dxa"/>
          </w:tcPr>
          <w:p>
            <w:pPr>
              <w:pStyle w:val="0"/>
              <w:jc w:val="center"/>
            </w:pPr>
            <w:r>
              <w:rPr>
                <w:sz w:val="20"/>
              </w:rPr>
              <w:t xml:space="preserve">план</w:t>
            </w:r>
          </w:p>
        </w:tc>
        <w:tc>
          <w:tcPr>
            <w:tcW w:w="624" w:type="dxa"/>
          </w:tcPr>
          <w:p>
            <w:pPr>
              <w:pStyle w:val="0"/>
              <w:jc w:val="center"/>
            </w:pPr>
            <w:r>
              <w:rPr>
                <w:sz w:val="20"/>
              </w:rPr>
              <w:t xml:space="preserve">факт</w:t>
            </w:r>
          </w:p>
        </w:tc>
      </w:tr>
      <w:tr>
        <w:tc>
          <w:tcPr>
            <w:tcW w:w="624" w:type="dxa"/>
          </w:tcPr>
          <w:p>
            <w:pPr>
              <w:pStyle w:val="0"/>
              <w:jc w:val="center"/>
            </w:pPr>
            <w:r>
              <w:rPr>
                <w:sz w:val="20"/>
              </w:rPr>
              <w:t xml:space="preserve">55</w:t>
            </w:r>
          </w:p>
        </w:tc>
        <w:tc>
          <w:tcPr>
            <w:tcW w:w="567" w:type="dxa"/>
          </w:tcPr>
          <w:p>
            <w:pPr>
              <w:pStyle w:val="0"/>
              <w:jc w:val="center"/>
            </w:pPr>
            <w:r>
              <w:rPr>
                <w:sz w:val="20"/>
              </w:rPr>
              <w:t xml:space="preserve">56</w:t>
            </w:r>
          </w:p>
        </w:tc>
        <w:tc>
          <w:tcPr>
            <w:tcW w:w="624" w:type="dxa"/>
          </w:tcPr>
          <w:p>
            <w:pPr>
              <w:pStyle w:val="0"/>
              <w:jc w:val="center"/>
            </w:pPr>
            <w:r>
              <w:rPr>
                <w:sz w:val="20"/>
              </w:rPr>
              <w:t xml:space="preserve">57</w:t>
            </w:r>
          </w:p>
        </w:tc>
        <w:tc>
          <w:tcPr>
            <w:tcW w:w="567" w:type="dxa"/>
          </w:tcPr>
          <w:p>
            <w:pPr>
              <w:pStyle w:val="0"/>
              <w:jc w:val="center"/>
            </w:pPr>
            <w:r>
              <w:rPr>
                <w:sz w:val="20"/>
              </w:rPr>
              <w:t xml:space="preserve">58</w:t>
            </w:r>
          </w:p>
        </w:tc>
        <w:tc>
          <w:tcPr>
            <w:tcW w:w="624" w:type="dxa"/>
          </w:tcPr>
          <w:p>
            <w:pPr>
              <w:pStyle w:val="0"/>
              <w:jc w:val="center"/>
            </w:pPr>
            <w:r>
              <w:rPr>
                <w:sz w:val="20"/>
              </w:rPr>
              <w:t xml:space="preserve">59</w:t>
            </w:r>
          </w:p>
        </w:tc>
        <w:tc>
          <w:tcPr>
            <w:tcW w:w="567" w:type="dxa"/>
          </w:tcPr>
          <w:p>
            <w:pPr>
              <w:pStyle w:val="0"/>
              <w:jc w:val="center"/>
            </w:pPr>
            <w:r>
              <w:rPr>
                <w:sz w:val="20"/>
              </w:rPr>
              <w:t xml:space="preserve">60</w:t>
            </w:r>
          </w:p>
        </w:tc>
        <w:tc>
          <w:tcPr>
            <w:tcW w:w="624" w:type="dxa"/>
          </w:tcPr>
          <w:p>
            <w:pPr>
              <w:pStyle w:val="0"/>
              <w:jc w:val="center"/>
            </w:pPr>
            <w:r>
              <w:rPr>
                <w:sz w:val="20"/>
              </w:rPr>
              <w:t xml:space="preserve">61</w:t>
            </w:r>
          </w:p>
        </w:tc>
        <w:tc>
          <w:tcPr>
            <w:tcW w:w="567" w:type="dxa"/>
          </w:tcPr>
          <w:p>
            <w:pPr>
              <w:pStyle w:val="0"/>
              <w:jc w:val="center"/>
            </w:pPr>
            <w:r>
              <w:rPr>
                <w:sz w:val="20"/>
              </w:rPr>
              <w:t xml:space="preserve">62</w:t>
            </w:r>
          </w:p>
        </w:tc>
        <w:tc>
          <w:tcPr>
            <w:tcW w:w="624" w:type="dxa"/>
          </w:tcPr>
          <w:p>
            <w:pPr>
              <w:pStyle w:val="0"/>
              <w:jc w:val="center"/>
            </w:pPr>
            <w:r>
              <w:rPr>
                <w:sz w:val="20"/>
              </w:rPr>
              <w:t xml:space="preserve">63</w:t>
            </w:r>
          </w:p>
        </w:tc>
        <w:tc>
          <w:tcPr>
            <w:tcW w:w="567" w:type="dxa"/>
          </w:tcPr>
          <w:p>
            <w:pPr>
              <w:pStyle w:val="0"/>
              <w:jc w:val="center"/>
            </w:pPr>
            <w:r>
              <w:rPr>
                <w:sz w:val="20"/>
              </w:rPr>
              <w:t xml:space="preserve">64</w:t>
            </w:r>
          </w:p>
        </w:tc>
        <w:tc>
          <w:tcPr>
            <w:tcW w:w="624" w:type="dxa"/>
          </w:tcPr>
          <w:p>
            <w:pPr>
              <w:pStyle w:val="0"/>
              <w:jc w:val="center"/>
            </w:pPr>
            <w:r>
              <w:rPr>
                <w:sz w:val="20"/>
              </w:rPr>
              <w:t xml:space="preserve">65</w:t>
            </w:r>
          </w:p>
        </w:tc>
        <w:tc>
          <w:tcPr>
            <w:tcW w:w="567" w:type="dxa"/>
          </w:tcPr>
          <w:p>
            <w:pPr>
              <w:pStyle w:val="0"/>
              <w:jc w:val="center"/>
            </w:pPr>
            <w:r>
              <w:rPr>
                <w:sz w:val="20"/>
              </w:rPr>
              <w:t xml:space="preserve">66</w:t>
            </w:r>
          </w:p>
        </w:tc>
        <w:tc>
          <w:tcPr>
            <w:tcW w:w="624" w:type="dxa"/>
          </w:tcPr>
          <w:p>
            <w:pPr>
              <w:pStyle w:val="0"/>
              <w:jc w:val="center"/>
            </w:pPr>
            <w:r>
              <w:rPr>
                <w:sz w:val="20"/>
              </w:rPr>
              <w:t xml:space="preserve">67</w:t>
            </w:r>
          </w:p>
        </w:tc>
        <w:tc>
          <w:tcPr>
            <w:tcW w:w="567" w:type="dxa"/>
          </w:tcPr>
          <w:p>
            <w:pPr>
              <w:pStyle w:val="0"/>
              <w:jc w:val="center"/>
            </w:pPr>
            <w:r>
              <w:rPr>
                <w:sz w:val="20"/>
              </w:rPr>
              <w:t xml:space="preserve">68</w:t>
            </w:r>
          </w:p>
        </w:tc>
        <w:tc>
          <w:tcPr>
            <w:tcW w:w="624" w:type="dxa"/>
          </w:tcPr>
          <w:p>
            <w:pPr>
              <w:pStyle w:val="0"/>
              <w:jc w:val="center"/>
            </w:pPr>
            <w:r>
              <w:rPr>
                <w:sz w:val="20"/>
              </w:rPr>
              <w:t xml:space="preserve">69</w:t>
            </w:r>
          </w:p>
        </w:tc>
        <w:tc>
          <w:tcPr>
            <w:tcW w:w="567" w:type="dxa"/>
          </w:tcPr>
          <w:p>
            <w:pPr>
              <w:pStyle w:val="0"/>
              <w:jc w:val="center"/>
            </w:pPr>
            <w:r>
              <w:rPr>
                <w:sz w:val="20"/>
              </w:rPr>
              <w:t xml:space="preserve">70</w:t>
            </w:r>
          </w:p>
        </w:tc>
        <w:tc>
          <w:tcPr>
            <w:tcW w:w="624" w:type="dxa"/>
          </w:tcPr>
          <w:p>
            <w:pPr>
              <w:pStyle w:val="0"/>
              <w:jc w:val="center"/>
            </w:pPr>
            <w:r>
              <w:rPr>
                <w:sz w:val="20"/>
              </w:rPr>
              <w:t xml:space="preserve">71</w:t>
            </w:r>
          </w:p>
        </w:tc>
        <w:tc>
          <w:tcPr>
            <w:tcW w:w="624" w:type="dxa"/>
          </w:tcPr>
          <w:p>
            <w:pPr>
              <w:pStyle w:val="0"/>
              <w:jc w:val="center"/>
            </w:pPr>
            <w:r>
              <w:rPr>
                <w:sz w:val="20"/>
              </w:rPr>
              <w:t xml:space="preserve">72</w:t>
            </w:r>
          </w:p>
        </w:tc>
        <w:tc>
          <w:tcPr>
            <w:tcW w:w="1728" w:type="dxa"/>
          </w:tcPr>
          <w:p>
            <w:pPr>
              <w:pStyle w:val="0"/>
              <w:jc w:val="center"/>
            </w:pPr>
            <w:r>
              <w:rPr>
                <w:sz w:val="20"/>
              </w:rPr>
              <w:t xml:space="preserve">73</w:t>
            </w:r>
          </w:p>
        </w:tc>
        <w:tc>
          <w:tcPr>
            <w:tcW w:w="1728" w:type="dxa"/>
          </w:tcPr>
          <w:p>
            <w:pPr>
              <w:pStyle w:val="0"/>
              <w:jc w:val="center"/>
            </w:pPr>
            <w:r>
              <w:rPr>
                <w:sz w:val="20"/>
              </w:rPr>
              <w:t xml:space="preserve">74</w:t>
            </w:r>
          </w:p>
        </w:tc>
        <w:tc>
          <w:tcPr>
            <w:tcW w:w="680" w:type="dxa"/>
          </w:tcPr>
          <w:p>
            <w:pPr>
              <w:pStyle w:val="0"/>
              <w:jc w:val="center"/>
            </w:pPr>
            <w:r>
              <w:rPr>
                <w:sz w:val="20"/>
              </w:rPr>
              <w:t xml:space="preserve">75</w:t>
            </w:r>
          </w:p>
        </w:tc>
        <w:tc>
          <w:tcPr>
            <w:tcW w:w="624" w:type="dxa"/>
          </w:tcPr>
          <w:p>
            <w:pPr>
              <w:pStyle w:val="0"/>
              <w:jc w:val="center"/>
            </w:pPr>
            <w:r>
              <w:rPr>
                <w:sz w:val="20"/>
              </w:rPr>
              <w:t xml:space="preserve">76</w:t>
            </w:r>
          </w:p>
        </w:tc>
      </w:tr>
      <w:tr>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1728" w:type="dxa"/>
          </w:tcPr>
          <w:p>
            <w:pPr>
              <w:pStyle w:val="0"/>
            </w:pPr>
            <w:r>
              <w:rPr>
                <w:sz w:val="20"/>
              </w:rPr>
            </w:r>
          </w:p>
        </w:tc>
        <w:tc>
          <w:tcPr>
            <w:tcW w:w="1728" w:type="dxa"/>
          </w:tcPr>
          <w:p>
            <w:pPr>
              <w:pStyle w:val="0"/>
            </w:pPr>
            <w:r>
              <w:rPr>
                <w:sz w:val="20"/>
              </w:rPr>
            </w:r>
          </w:p>
        </w:tc>
        <w:tc>
          <w:tcPr>
            <w:tcW w:w="680" w:type="dxa"/>
          </w:tcPr>
          <w:p>
            <w:pPr>
              <w:pStyle w:val="0"/>
            </w:pPr>
            <w:r>
              <w:rPr>
                <w:sz w:val="20"/>
              </w:rPr>
            </w:r>
          </w:p>
        </w:tc>
        <w:tc>
          <w:tcPr>
            <w:tcW w:w="624" w:type="dxa"/>
          </w:tcPr>
          <w:p>
            <w:pPr>
              <w:pStyle w:val="0"/>
            </w:pPr>
            <w:r>
              <w:rPr>
                <w:sz w:val="20"/>
              </w:rPr>
            </w:r>
          </w:p>
        </w:tc>
      </w:tr>
      <w:tr>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1728" w:type="dxa"/>
          </w:tcPr>
          <w:p>
            <w:pPr>
              <w:pStyle w:val="0"/>
            </w:pPr>
            <w:r>
              <w:rPr>
                <w:sz w:val="20"/>
              </w:rPr>
            </w:r>
          </w:p>
        </w:tc>
        <w:tc>
          <w:tcPr>
            <w:tcW w:w="1728" w:type="dxa"/>
          </w:tcPr>
          <w:p>
            <w:pPr>
              <w:pStyle w:val="0"/>
            </w:pPr>
            <w:r>
              <w:rPr>
                <w:sz w:val="20"/>
              </w:rPr>
            </w:r>
          </w:p>
        </w:tc>
        <w:tc>
          <w:tcPr>
            <w:tcW w:w="680" w:type="dxa"/>
          </w:tcPr>
          <w:p>
            <w:pPr>
              <w:pStyle w:val="0"/>
            </w:pPr>
            <w:r>
              <w:rPr>
                <w:sz w:val="20"/>
              </w:rPr>
            </w:r>
          </w:p>
        </w:tc>
        <w:tc>
          <w:tcPr>
            <w:tcW w:w="624" w:type="dxa"/>
          </w:tcPr>
          <w:p>
            <w:pPr>
              <w:pStyle w:val="0"/>
            </w:pPr>
            <w:r>
              <w:rPr>
                <w:sz w:val="20"/>
              </w:rPr>
            </w:r>
          </w:p>
        </w:tc>
      </w:tr>
    </w:tbl>
    <w:p>
      <w:pPr>
        <w:sectPr>
          <w:headerReference w:type="default" r:id="rId90"/>
          <w:headerReference w:type="first" r:id="rId90"/>
          <w:footerReference w:type="default" r:id="rId91"/>
          <w:footerReference w:type="first" r:id="rId91"/>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Требованиям для реализации субъектами</w:t>
      </w:r>
    </w:p>
    <w:p>
      <w:pPr>
        <w:pStyle w:val="0"/>
        <w:jc w:val="right"/>
      </w:pPr>
      <w:r>
        <w:rPr>
          <w:sz w:val="20"/>
        </w:rPr>
        <w:t xml:space="preserve">Российской Федерации мероприятий</w:t>
      </w:r>
    </w:p>
    <w:p>
      <w:pPr>
        <w:pStyle w:val="0"/>
        <w:jc w:val="right"/>
      </w:pPr>
      <w:r>
        <w:rPr>
          <w:sz w:val="20"/>
        </w:rPr>
        <w:t xml:space="preserve">региональных проектов, обеспечивающих</w:t>
      </w:r>
    </w:p>
    <w:p>
      <w:pPr>
        <w:pStyle w:val="0"/>
        <w:jc w:val="right"/>
      </w:pPr>
      <w:r>
        <w:rPr>
          <w:sz w:val="20"/>
        </w:rPr>
        <w:t xml:space="preserve">достижение целей, показателей</w:t>
      </w:r>
    </w:p>
    <w:p>
      <w:pPr>
        <w:pStyle w:val="0"/>
        <w:jc w:val="right"/>
      </w:pPr>
      <w:r>
        <w:rPr>
          <w:sz w:val="20"/>
        </w:rPr>
        <w:t xml:space="preserve">и результатов федерального проекта "Малое</w:t>
      </w:r>
    </w:p>
    <w:p>
      <w:pPr>
        <w:pStyle w:val="0"/>
        <w:jc w:val="right"/>
      </w:pPr>
      <w:r>
        <w:rPr>
          <w:sz w:val="20"/>
        </w:rPr>
        <w:t xml:space="preserve">и среднее предпринимательство и поддержка</w:t>
      </w:r>
    </w:p>
    <w:p>
      <w:pPr>
        <w:pStyle w:val="0"/>
        <w:jc w:val="right"/>
      </w:pPr>
      <w:r>
        <w:rPr>
          <w:sz w:val="20"/>
        </w:rPr>
        <w:t xml:space="preserve">индивидуальной предпринимательской</w:t>
      </w:r>
    </w:p>
    <w:p>
      <w:pPr>
        <w:pStyle w:val="0"/>
        <w:jc w:val="right"/>
      </w:pPr>
      <w:r>
        <w:rPr>
          <w:sz w:val="20"/>
        </w:rPr>
        <w:t xml:space="preserve">инициативы", входящего в состав</w:t>
      </w:r>
    </w:p>
    <w:p>
      <w:pPr>
        <w:pStyle w:val="0"/>
        <w:jc w:val="right"/>
      </w:pPr>
      <w:r>
        <w:rPr>
          <w:sz w:val="20"/>
        </w:rPr>
        <w:t xml:space="preserve">национального проекта "Эффективная</w:t>
      </w:r>
    </w:p>
    <w:p>
      <w:pPr>
        <w:pStyle w:val="0"/>
        <w:jc w:val="right"/>
      </w:pPr>
      <w:r>
        <w:rPr>
          <w:sz w:val="20"/>
        </w:rPr>
        <w:t xml:space="preserve">и конкурентная экономика",</w:t>
      </w:r>
    </w:p>
    <w:p>
      <w:pPr>
        <w:pStyle w:val="0"/>
        <w:jc w:val="right"/>
      </w:pPr>
      <w:r>
        <w:rPr>
          <w:sz w:val="20"/>
        </w:rPr>
        <w:t xml:space="preserve">предусматривающим основные направления</w:t>
      </w:r>
    </w:p>
    <w:p>
      <w:pPr>
        <w:pStyle w:val="0"/>
        <w:jc w:val="right"/>
      </w:pPr>
      <w:r>
        <w:rPr>
          <w:sz w:val="20"/>
        </w:rPr>
        <w:t xml:space="preserve">расходов при реализации мероприятий,</w:t>
      </w:r>
    </w:p>
    <w:p>
      <w:pPr>
        <w:pStyle w:val="0"/>
        <w:jc w:val="right"/>
      </w:pPr>
      <w:r>
        <w:rPr>
          <w:sz w:val="20"/>
        </w:rPr>
        <w:t xml:space="preserve">ключевые показатели эффективности</w:t>
      </w:r>
    </w:p>
    <w:p>
      <w:pPr>
        <w:pStyle w:val="0"/>
        <w:jc w:val="right"/>
      </w:pPr>
      <w:r>
        <w:rPr>
          <w:sz w:val="20"/>
        </w:rPr>
        <w:t xml:space="preserve">реализации мероприятий, в том числе</w:t>
      </w:r>
    </w:p>
    <w:p>
      <w:pPr>
        <w:pStyle w:val="0"/>
        <w:jc w:val="right"/>
      </w:pPr>
      <w:r>
        <w:rPr>
          <w:sz w:val="20"/>
        </w:rPr>
        <w:t xml:space="preserve">требованиям к организациям, образующим</w:t>
      </w:r>
    </w:p>
    <w:p>
      <w:pPr>
        <w:pStyle w:val="0"/>
        <w:jc w:val="right"/>
      </w:pPr>
      <w:r>
        <w:rPr>
          <w:sz w:val="20"/>
        </w:rPr>
        <w:t xml:space="preserve">инфраструктуру поддержки субъектов малого</w:t>
      </w:r>
    </w:p>
    <w:p>
      <w:pPr>
        <w:pStyle w:val="0"/>
        <w:jc w:val="right"/>
      </w:pPr>
      <w:r>
        <w:rPr>
          <w:sz w:val="20"/>
        </w:rPr>
        <w:t xml:space="preserve">и среднего предпринимательства,</w:t>
      </w:r>
    </w:p>
    <w:p>
      <w:pPr>
        <w:pStyle w:val="0"/>
        <w:jc w:val="right"/>
      </w:pPr>
      <w:r>
        <w:rPr>
          <w:sz w:val="20"/>
        </w:rPr>
        <w:t xml:space="preserve">требованиям к государственным</w:t>
      </w:r>
    </w:p>
    <w:p>
      <w:pPr>
        <w:pStyle w:val="0"/>
        <w:jc w:val="right"/>
      </w:pPr>
      <w:r>
        <w:rPr>
          <w:sz w:val="20"/>
        </w:rPr>
        <w:t xml:space="preserve">(муниципальным) микрофинансовым</w:t>
      </w:r>
    </w:p>
    <w:p>
      <w:pPr>
        <w:pStyle w:val="0"/>
        <w:jc w:val="right"/>
      </w:pPr>
      <w:r>
        <w:rPr>
          <w:sz w:val="20"/>
        </w:rPr>
        <w:t xml:space="preserve">организациям и к их деятельности,</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27 марта 2025 г. N 195</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bookmarkStart w:id="2952" w:name="P2952"/>
    <w:bookmarkEnd w:id="2952"/>
    <w:p>
      <w:pPr>
        <w:pStyle w:val="0"/>
        <w:jc w:val="center"/>
      </w:pPr>
      <w:r>
        <w:rPr>
          <w:sz w:val="20"/>
        </w:rPr>
        <w:t xml:space="preserve">ОТЧЕТ</w:t>
      </w:r>
    </w:p>
    <w:p>
      <w:pPr>
        <w:pStyle w:val="0"/>
        <w:jc w:val="center"/>
      </w:pPr>
      <w:r>
        <w:rPr>
          <w:sz w:val="20"/>
        </w:rPr>
        <w:t xml:space="preserve">об исполнении графика выполнения мероприятия по созданию</w:t>
      </w:r>
    </w:p>
    <w:p>
      <w:pPr>
        <w:pStyle w:val="0"/>
        <w:jc w:val="center"/>
      </w:pPr>
      <w:r>
        <w:rPr>
          <w:sz w:val="20"/>
        </w:rPr>
        <w:t xml:space="preserve">и (или) развитию индустриального (промышленного) парка,</w:t>
      </w:r>
    </w:p>
    <w:p>
      <w:pPr>
        <w:pStyle w:val="0"/>
        <w:jc w:val="center"/>
      </w:pPr>
      <w:r>
        <w:rPr>
          <w:sz w:val="20"/>
        </w:rPr>
        <w:t xml:space="preserve">агропромышленного парка, бизнес-парка, технопарка</w:t>
      </w:r>
    </w:p>
    <w:p>
      <w:pPr>
        <w:pStyle w:val="0"/>
        <w:jc w:val="center"/>
      </w:pPr>
      <w:r>
        <w:rPr>
          <w:sz w:val="20"/>
        </w:rPr>
        <w:t xml:space="preserve">или промышленного технопарка</w:t>
      </w:r>
    </w:p>
    <w:p>
      <w:pPr>
        <w:pStyle w:val="0"/>
        <w:ind w:firstLine="540"/>
        <w:jc w:val="both"/>
      </w:pPr>
      <w:r>
        <w:rPr>
          <w:sz w:val="20"/>
        </w:rPr>
      </w:r>
    </w:p>
    <w:p>
      <w:pPr>
        <w:pStyle w:val="0"/>
        <w:outlineLvl w:val="2"/>
        <w:jc w:val="both"/>
      </w:pPr>
      <w:r>
        <w:rPr>
          <w:sz w:val="20"/>
        </w:rPr>
        <w:t xml:space="preserve">Данные за __ квартал 202_ года</w:t>
      </w:r>
    </w:p>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624"/>
        <w:gridCol w:w="648"/>
        <w:gridCol w:w="794"/>
        <w:gridCol w:w="533"/>
        <w:gridCol w:w="510"/>
        <w:gridCol w:w="624"/>
        <w:gridCol w:w="794"/>
        <w:gridCol w:w="504"/>
        <w:gridCol w:w="1531"/>
        <w:gridCol w:w="1247"/>
        <w:gridCol w:w="737"/>
        <w:gridCol w:w="907"/>
        <w:gridCol w:w="1474"/>
        <w:gridCol w:w="571"/>
        <w:gridCol w:w="737"/>
        <w:gridCol w:w="917"/>
      </w:tblGrid>
      <w:tr>
        <w:tc>
          <w:tcPr>
            <w:tcW w:w="397" w:type="dxa"/>
            <w:vMerge w:val="restart"/>
          </w:tcPr>
          <w:p>
            <w:pPr>
              <w:pStyle w:val="0"/>
              <w:jc w:val="center"/>
            </w:pPr>
            <w:r>
              <w:rPr>
                <w:sz w:val="20"/>
              </w:rPr>
              <w:t xml:space="preserve">N</w:t>
            </w:r>
          </w:p>
        </w:tc>
        <w:tc>
          <w:tcPr>
            <w:gridSpan w:val="4"/>
            <w:tcW w:w="2599" w:type="dxa"/>
          </w:tcPr>
          <w:p>
            <w:pPr>
              <w:pStyle w:val="0"/>
              <w:jc w:val="center"/>
            </w:pPr>
            <w:r>
              <w:rPr>
                <w:sz w:val="20"/>
              </w:rPr>
              <w:t xml:space="preserve">Стоимость проекта на текущий финансовый год (тыс. рублей)</w:t>
            </w:r>
          </w:p>
        </w:tc>
        <w:tc>
          <w:tcPr>
            <w:gridSpan w:val="4"/>
            <w:tcW w:w="2432" w:type="dxa"/>
          </w:tcPr>
          <w:p>
            <w:pPr>
              <w:pStyle w:val="0"/>
              <w:jc w:val="center"/>
            </w:pPr>
            <w:r>
              <w:rPr>
                <w:sz w:val="20"/>
              </w:rPr>
              <w:t xml:space="preserve">Профинансировано (с начала года нарастающим итогом) (тыс. рублей)</w:t>
            </w:r>
          </w:p>
        </w:tc>
        <w:tc>
          <w:tcPr>
            <w:tcW w:w="1531" w:type="dxa"/>
          </w:tcPr>
          <w:p>
            <w:pPr>
              <w:pStyle w:val="0"/>
              <w:jc w:val="center"/>
            </w:pPr>
            <w:r>
              <w:rPr>
                <w:sz w:val="20"/>
              </w:rPr>
              <w:t xml:space="preserve">Фактически освоено (с начала года нарастающим итогом) (тыс. рублей)</w:t>
            </w:r>
          </w:p>
        </w:tc>
        <w:tc>
          <w:tcPr>
            <w:gridSpan w:val="2"/>
            <w:tcW w:w="1984" w:type="dxa"/>
          </w:tcPr>
          <w:p>
            <w:pPr>
              <w:pStyle w:val="0"/>
              <w:jc w:val="center"/>
            </w:pPr>
            <w:r>
              <w:rPr>
                <w:sz w:val="20"/>
              </w:rPr>
              <w:t xml:space="preserve">Дебиторская задолженность (тыс. рублей)</w:t>
            </w:r>
          </w:p>
        </w:tc>
        <w:tc>
          <w:tcPr>
            <w:tcW w:w="907" w:type="dxa"/>
            <w:vMerge w:val="restart"/>
          </w:tcPr>
          <w:p>
            <w:pPr>
              <w:pStyle w:val="0"/>
              <w:jc w:val="center"/>
            </w:pPr>
            <w:r>
              <w:rPr>
                <w:sz w:val="20"/>
              </w:rPr>
              <w:t xml:space="preserve">Авансовые платежи на конец отчетного периода (тыс. рублей)</w:t>
            </w:r>
          </w:p>
        </w:tc>
        <w:tc>
          <w:tcPr>
            <w:tcW w:w="1474" w:type="dxa"/>
          </w:tcPr>
          <w:p>
            <w:pPr>
              <w:pStyle w:val="0"/>
              <w:jc w:val="center"/>
            </w:pPr>
            <w:r>
              <w:rPr>
                <w:sz w:val="20"/>
              </w:rPr>
              <w:t xml:space="preserve">Ожидаемое выполнение (тыс. рублей)</w:t>
            </w:r>
          </w:p>
        </w:tc>
        <w:tc>
          <w:tcPr>
            <w:tcW w:w="571" w:type="dxa"/>
            <w:vMerge w:val="restart"/>
          </w:tcPr>
          <w:p>
            <w:pPr>
              <w:pStyle w:val="0"/>
              <w:jc w:val="center"/>
            </w:pPr>
            <w:r>
              <w:rPr>
                <w:sz w:val="20"/>
              </w:rPr>
              <w:t xml:space="preserve">Год начала строительства</w:t>
            </w:r>
          </w:p>
        </w:tc>
        <w:tc>
          <w:tcPr>
            <w:tcW w:w="737" w:type="dxa"/>
            <w:vMerge w:val="restart"/>
          </w:tcPr>
          <w:p>
            <w:pPr>
              <w:pStyle w:val="0"/>
              <w:jc w:val="center"/>
            </w:pPr>
            <w:r>
              <w:rPr>
                <w:sz w:val="20"/>
              </w:rPr>
              <w:t xml:space="preserve">Год ввода объекта в эксплуатацию</w:t>
            </w:r>
          </w:p>
        </w:tc>
        <w:tc>
          <w:tcPr>
            <w:tcW w:w="917" w:type="dxa"/>
            <w:vMerge w:val="restart"/>
          </w:tcPr>
          <w:p>
            <w:pPr>
              <w:pStyle w:val="0"/>
              <w:jc w:val="center"/>
            </w:pPr>
            <w:r>
              <w:rPr>
                <w:sz w:val="20"/>
              </w:rPr>
              <w:t xml:space="preserve">Описание технического результата за отчетный период</w:t>
            </w:r>
          </w:p>
        </w:tc>
      </w:tr>
      <w:tr>
        <w:tc>
          <w:tcPr>
            <w:vMerge w:val="continue"/>
          </w:tcPr>
          <w:p/>
        </w:tc>
        <w:tc>
          <w:tcPr>
            <w:tcW w:w="624" w:type="dxa"/>
            <w:vMerge w:val="restart"/>
          </w:tcPr>
          <w:p>
            <w:pPr>
              <w:pStyle w:val="0"/>
              <w:jc w:val="center"/>
            </w:pPr>
            <w:r>
              <w:rPr>
                <w:sz w:val="20"/>
              </w:rPr>
              <w:t xml:space="preserve">Всего на год</w:t>
            </w:r>
          </w:p>
        </w:tc>
        <w:tc>
          <w:tcPr>
            <w:gridSpan w:val="3"/>
            <w:tcW w:w="1975" w:type="dxa"/>
          </w:tcPr>
          <w:p>
            <w:pPr>
              <w:pStyle w:val="0"/>
              <w:jc w:val="center"/>
            </w:pPr>
            <w:r>
              <w:rPr>
                <w:sz w:val="20"/>
              </w:rPr>
              <w:t xml:space="preserve">в том числе:</w:t>
            </w:r>
          </w:p>
        </w:tc>
        <w:tc>
          <w:tcPr>
            <w:tcW w:w="510" w:type="dxa"/>
            <w:vMerge w:val="restart"/>
          </w:tcPr>
          <w:p>
            <w:pPr>
              <w:pStyle w:val="0"/>
              <w:jc w:val="center"/>
            </w:pPr>
            <w:r>
              <w:rPr>
                <w:sz w:val="20"/>
              </w:rPr>
              <w:t xml:space="preserve">Всего</w:t>
            </w:r>
          </w:p>
        </w:tc>
        <w:tc>
          <w:tcPr>
            <w:gridSpan w:val="3"/>
            <w:tcW w:w="1922" w:type="dxa"/>
          </w:tcPr>
          <w:p>
            <w:pPr>
              <w:pStyle w:val="0"/>
              <w:jc w:val="center"/>
            </w:pPr>
            <w:r>
              <w:rPr>
                <w:sz w:val="20"/>
              </w:rPr>
              <w:t xml:space="preserve">в том числе:</w:t>
            </w:r>
          </w:p>
        </w:tc>
        <w:tc>
          <w:tcPr>
            <w:tcW w:w="1531" w:type="dxa"/>
            <w:vMerge w:val="restart"/>
          </w:tcPr>
          <w:p>
            <w:pPr>
              <w:pStyle w:val="0"/>
              <w:jc w:val="center"/>
            </w:pPr>
            <w:r>
              <w:rPr>
                <w:sz w:val="20"/>
              </w:rPr>
              <w:t xml:space="preserve">За счет всех источников финансирования</w:t>
            </w:r>
          </w:p>
        </w:tc>
        <w:tc>
          <w:tcPr>
            <w:tcW w:w="1247" w:type="dxa"/>
            <w:vMerge w:val="restart"/>
          </w:tcPr>
          <w:p>
            <w:pPr>
              <w:pStyle w:val="0"/>
              <w:jc w:val="center"/>
            </w:pPr>
            <w:r>
              <w:rPr>
                <w:sz w:val="20"/>
              </w:rPr>
              <w:t xml:space="preserve">по состоянию на 01.01.202_</w:t>
            </w:r>
          </w:p>
        </w:tc>
        <w:tc>
          <w:tcPr>
            <w:tcW w:w="737" w:type="dxa"/>
            <w:vMerge w:val="restart"/>
          </w:tcPr>
          <w:p>
            <w:pPr>
              <w:pStyle w:val="0"/>
              <w:jc w:val="center"/>
            </w:pPr>
            <w:r>
              <w:rPr>
                <w:sz w:val="20"/>
              </w:rPr>
              <w:t xml:space="preserve">по состоянию на конец отчетного периода</w:t>
            </w:r>
          </w:p>
        </w:tc>
        <w:tc>
          <w:tcPr>
            <w:vMerge w:val="continue"/>
          </w:tcPr>
          <w:p/>
        </w:tc>
        <w:tc>
          <w:tcPr>
            <w:tcW w:w="1474" w:type="dxa"/>
            <w:vMerge w:val="restart"/>
          </w:tcPr>
          <w:p>
            <w:pPr>
              <w:pStyle w:val="0"/>
              <w:jc w:val="center"/>
            </w:pPr>
            <w:r>
              <w:rPr>
                <w:sz w:val="20"/>
              </w:rPr>
              <w:t xml:space="preserve">За счет всех источников финансирования</w:t>
            </w:r>
          </w:p>
        </w:tc>
        <w:tc>
          <w:tcPr>
            <w:vMerge w:val="continue"/>
          </w:tcPr>
          <w:p/>
        </w:tc>
        <w:tc>
          <w:tcPr>
            <w:vMerge w:val="continue"/>
          </w:tcPr>
          <w:p/>
        </w:tc>
        <w:tc>
          <w:tcPr>
            <w:vMerge w:val="continue"/>
          </w:tcPr>
          <w:p/>
        </w:tc>
      </w:tr>
      <w:tr>
        <w:tc>
          <w:tcPr>
            <w:vMerge w:val="continue"/>
          </w:tcPr>
          <w:p/>
        </w:tc>
        <w:tc>
          <w:tcPr>
            <w:vMerge w:val="continue"/>
          </w:tcPr>
          <w:p/>
        </w:tc>
        <w:tc>
          <w:tcPr>
            <w:tcW w:w="648" w:type="dxa"/>
          </w:tcPr>
          <w:p>
            <w:pPr>
              <w:pStyle w:val="0"/>
              <w:jc w:val="center"/>
            </w:pPr>
            <w:r>
              <w:rPr>
                <w:sz w:val="20"/>
              </w:rPr>
              <w:t xml:space="preserve">федеральный бюджет</w:t>
            </w:r>
          </w:p>
        </w:tc>
        <w:tc>
          <w:tcPr>
            <w:tcW w:w="794" w:type="dxa"/>
          </w:tcPr>
          <w:p>
            <w:pPr>
              <w:pStyle w:val="0"/>
              <w:jc w:val="center"/>
            </w:pPr>
            <w:r>
              <w:rPr>
                <w:sz w:val="20"/>
              </w:rPr>
              <w:t xml:space="preserve">бюджет субъектов Российской Федерации</w:t>
            </w:r>
          </w:p>
        </w:tc>
        <w:tc>
          <w:tcPr>
            <w:tcW w:w="533" w:type="dxa"/>
          </w:tcPr>
          <w:p>
            <w:pPr>
              <w:pStyle w:val="0"/>
              <w:jc w:val="center"/>
            </w:pPr>
            <w:r>
              <w:rPr>
                <w:sz w:val="20"/>
              </w:rPr>
              <w:t xml:space="preserve">прочие источники</w:t>
            </w:r>
          </w:p>
        </w:tc>
        <w:tc>
          <w:tcPr>
            <w:vMerge w:val="continue"/>
          </w:tcPr>
          <w:p/>
        </w:tc>
        <w:tc>
          <w:tcPr>
            <w:tcW w:w="624" w:type="dxa"/>
          </w:tcPr>
          <w:p>
            <w:pPr>
              <w:pStyle w:val="0"/>
              <w:jc w:val="center"/>
            </w:pPr>
            <w:r>
              <w:rPr>
                <w:sz w:val="20"/>
              </w:rPr>
              <w:t xml:space="preserve">федеральный бюджет</w:t>
            </w:r>
          </w:p>
        </w:tc>
        <w:tc>
          <w:tcPr>
            <w:tcW w:w="794" w:type="dxa"/>
          </w:tcPr>
          <w:p>
            <w:pPr>
              <w:pStyle w:val="0"/>
              <w:jc w:val="center"/>
            </w:pPr>
            <w:r>
              <w:rPr>
                <w:sz w:val="20"/>
              </w:rPr>
              <w:t xml:space="preserve">бюджет субъектов Российской Федерации</w:t>
            </w:r>
          </w:p>
        </w:tc>
        <w:tc>
          <w:tcPr>
            <w:tcW w:w="504" w:type="dxa"/>
          </w:tcPr>
          <w:p>
            <w:pPr>
              <w:pStyle w:val="0"/>
              <w:jc w:val="center"/>
            </w:pPr>
            <w:r>
              <w:rPr>
                <w:sz w:val="20"/>
              </w:rPr>
              <w:t xml:space="preserve">прочие источники</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397" w:type="dxa"/>
          </w:tcPr>
          <w:p>
            <w:pPr>
              <w:pStyle w:val="0"/>
              <w:jc w:val="center"/>
            </w:pPr>
            <w:r>
              <w:rPr>
                <w:sz w:val="20"/>
              </w:rPr>
              <w:t xml:space="preserve">1</w:t>
            </w:r>
          </w:p>
        </w:tc>
        <w:tc>
          <w:tcPr>
            <w:tcW w:w="624" w:type="dxa"/>
          </w:tcPr>
          <w:p>
            <w:pPr>
              <w:pStyle w:val="0"/>
              <w:jc w:val="center"/>
            </w:pPr>
            <w:r>
              <w:rPr>
                <w:sz w:val="20"/>
              </w:rPr>
              <w:t xml:space="preserve">2</w:t>
            </w:r>
          </w:p>
        </w:tc>
        <w:tc>
          <w:tcPr>
            <w:tcW w:w="648" w:type="dxa"/>
          </w:tcPr>
          <w:p>
            <w:pPr>
              <w:pStyle w:val="0"/>
              <w:jc w:val="center"/>
            </w:pPr>
            <w:r>
              <w:rPr>
                <w:sz w:val="20"/>
              </w:rPr>
              <w:t xml:space="preserve">3</w:t>
            </w:r>
          </w:p>
        </w:tc>
        <w:tc>
          <w:tcPr>
            <w:tcW w:w="794" w:type="dxa"/>
          </w:tcPr>
          <w:p>
            <w:pPr>
              <w:pStyle w:val="0"/>
              <w:jc w:val="center"/>
            </w:pPr>
            <w:r>
              <w:rPr>
                <w:sz w:val="20"/>
              </w:rPr>
              <w:t xml:space="preserve">4</w:t>
            </w:r>
          </w:p>
        </w:tc>
        <w:tc>
          <w:tcPr>
            <w:tcW w:w="533" w:type="dxa"/>
          </w:tcPr>
          <w:p>
            <w:pPr>
              <w:pStyle w:val="0"/>
              <w:jc w:val="center"/>
            </w:pPr>
            <w:r>
              <w:rPr>
                <w:sz w:val="20"/>
              </w:rPr>
              <w:t xml:space="preserve">5</w:t>
            </w:r>
          </w:p>
        </w:tc>
        <w:tc>
          <w:tcPr>
            <w:tcW w:w="510" w:type="dxa"/>
          </w:tcPr>
          <w:p>
            <w:pPr>
              <w:pStyle w:val="0"/>
              <w:jc w:val="center"/>
            </w:pPr>
            <w:r>
              <w:rPr>
                <w:sz w:val="20"/>
              </w:rPr>
              <w:t xml:space="preserve">6</w:t>
            </w:r>
          </w:p>
        </w:tc>
        <w:tc>
          <w:tcPr>
            <w:tcW w:w="624" w:type="dxa"/>
          </w:tcPr>
          <w:p>
            <w:pPr>
              <w:pStyle w:val="0"/>
              <w:jc w:val="center"/>
            </w:pPr>
            <w:r>
              <w:rPr>
                <w:sz w:val="20"/>
              </w:rPr>
              <w:t xml:space="preserve">7</w:t>
            </w:r>
          </w:p>
        </w:tc>
        <w:tc>
          <w:tcPr>
            <w:tcW w:w="794" w:type="dxa"/>
          </w:tcPr>
          <w:p>
            <w:pPr>
              <w:pStyle w:val="0"/>
              <w:jc w:val="center"/>
            </w:pPr>
            <w:r>
              <w:rPr>
                <w:sz w:val="20"/>
              </w:rPr>
              <w:t xml:space="preserve">8</w:t>
            </w:r>
          </w:p>
        </w:tc>
        <w:tc>
          <w:tcPr>
            <w:tcW w:w="504" w:type="dxa"/>
          </w:tcPr>
          <w:p>
            <w:pPr>
              <w:pStyle w:val="0"/>
              <w:jc w:val="center"/>
            </w:pPr>
            <w:r>
              <w:rPr>
                <w:sz w:val="20"/>
              </w:rPr>
              <w:t xml:space="preserve">9</w:t>
            </w:r>
          </w:p>
        </w:tc>
        <w:tc>
          <w:tcPr>
            <w:tcW w:w="1531" w:type="dxa"/>
          </w:tcPr>
          <w:p>
            <w:pPr>
              <w:pStyle w:val="0"/>
              <w:jc w:val="center"/>
            </w:pPr>
            <w:r>
              <w:rPr>
                <w:sz w:val="20"/>
              </w:rPr>
              <w:t xml:space="preserve">10</w:t>
            </w:r>
          </w:p>
        </w:tc>
        <w:tc>
          <w:tcPr>
            <w:tcW w:w="1247" w:type="dxa"/>
          </w:tcPr>
          <w:p>
            <w:pPr>
              <w:pStyle w:val="0"/>
              <w:jc w:val="center"/>
            </w:pPr>
            <w:r>
              <w:rPr>
                <w:sz w:val="20"/>
              </w:rPr>
              <w:t xml:space="preserve">11</w:t>
            </w:r>
          </w:p>
        </w:tc>
        <w:tc>
          <w:tcPr>
            <w:tcW w:w="737" w:type="dxa"/>
          </w:tcPr>
          <w:p>
            <w:pPr>
              <w:pStyle w:val="0"/>
              <w:jc w:val="center"/>
            </w:pPr>
            <w:r>
              <w:rPr>
                <w:sz w:val="20"/>
              </w:rPr>
              <w:t xml:space="preserve">12</w:t>
            </w:r>
          </w:p>
        </w:tc>
        <w:tc>
          <w:tcPr>
            <w:tcW w:w="907" w:type="dxa"/>
          </w:tcPr>
          <w:p>
            <w:pPr>
              <w:pStyle w:val="0"/>
              <w:jc w:val="center"/>
            </w:pPr>
            <w:r>
              <w:rPr>
                <w:sz w:val="20"/>
              </w:rPr>
              <w:t xml:space="preserve">13</w:t>
            </w:r>
          </w:p>
        </w:tc>
        <w:tc>
          <w:tcPr>
            <w:tcW w:w="1474" w:type="dxa"/>
          </w:tcPr>
          <w:p>
            <w:pPr>
              <w:pStyle w:val="0"/>
              <w:jc w:val="center"/>
            </w:pPr>
            <w:r>
              <w:rPr>
                <w:sz w:val="20"/>
              </w:rPr>
              <w:t xml:space="preserve">14</w:t>
            </w:r>
          </w:p>
        </w:tc>
        <w:tc>
          <w:tcPr>
            <w:tcW w:w="571" w:type="dxa"/>
          </w:tcPr>
          <w:p>
            <w:pPr>
              <w:pStyle w:val="0"/>
              <w:jc w:val="center"/>
            </w:pPr>
            <w:r>
              <w:rPr>
                <w:sz w:val="20"/>
              </w:rPr>
              <w:t xml:space="preserve">15</w:t>
            </w:r>
          </w:p>
        </w:tc>
        <w:tc>
          <w:tcPr>
            <w:tcW w:w="737" w:type="dxa"/>
          </w:tcPr>
          <w:p>
            <w:pPr>
              <w:pStyle w:val="0"/>
              <w:jc w:val="center"/>
            </w:pPr>
            <w:r>
              <w:rPr>
                <w:sz w:val="20"/>
              </w:rPr>
              <w:t xml:space="preserve">16</w:t>
            </w:r>
          </w:p>
        </w:tc>
        <w:tc>
          <w:tcPr>
            <w:tcW w:w="917" w:type="dxa"/>
          </w:tcPr>
          <w:p>
            <w:pPr>
              <w:pStyle w:val="0"/>
              <w:jc w:val="center"/>
            </w:pPr>
            <w:r>
              <w:rPr>
                <w:sz w:val="20"/>
              </w:rPr>
              <w:t xml:space="preserve">17</w:t>
            </w:r>
          </w:p>
        </w:tc>
      </w:tr>
      <w:tr>
        <w:tc>
          <w:tcPr>
            <w:tcW w:w="397" w:type="dxa"/>
          </w:tcPr>
          <w:p>
            <w:pPr>
              <w:pStyle w:val="0"/>
            </w:pPr>
            <w:r>
              <w:rPr>
                <w:sz w:val="20"/>
              </w:rPr>
            </w:r>
          </w:p>
        </w:tc>
        <w:tc>
          <w:tcPr>
            <w:tcW w:w="624" w:type="dxa"/>
          </w:tcPr>
          <w:p>
            <w:pPr>
              <w:pStyle w:val="0"/>
            </w:pPr>
            <w:r>
              <w:rPr>
                <w:sz w:val="20"/>
              </w:rPr>
            </w:r>
          </w:p>
        </w:tc>
        <w:tc>
          <w:tcPr>
            <w:tcW w:w="648" w:type="dxa"/>
          </w:tcPr>
          <w:p>
            <w:pPr>
              <w:pStyle w:val="0"/>
            </w:pPr>
            <w:r>
              <w:rPr>
                <w:sz w:val="20"/>
              </w:rPr>
            </w:r>
          </w:p>
        </w:tc>
        <w:tc>
          <w:tcPr>
            <w:tcW w:w="794" w:type="dxa"/>
          </w:tcPr>
          <w:p>
            <w:pPr>
              <w:pStyle w:val="0"/>
            </w:pPr>
            <w:r>
              <w:rPr>
                <w:sz w:val="20"/>
              </w:rPr>
            </w:r>
          </w:p>
        </w:tc>
        <w:tc>
          <w:tcPr>
            <w:tcW w:w="533"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504" w:type="dxa"/>
          </w:tcPr>
          <w:p>
            <w:pPr>
              <w:pStyle w:val="0"/>
            </w:pPr>
            <w:r>
              <w:rPr>
                <w:sz w:val="20"/>
              </w:rPr>
            </w:r>
          </w:p>
        </w:tc>
        <w:tc>
          <w:tcPr>
            <w:tcW w:w="1531"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571" w:type="dxa"/>
          </w:tcPr>
          <w:p>
            <w:pPr>
              <w:pStyle w:val="0"/>
            </w:pPr>
            <w:r>
              <w:rPr>
                <w:sz w:val="20"/>
              </w:rPr>
            </w:r>
          </w:p>
        </w:tc>
        <w:tc>
          <w:tcPr>
            <w:tcW w:w="737" w:type="dxa"/>
          </w:tcPr>
          <w:p>
            <w:pPr>
              <w:pStyle w:val="0"/>
            </w:pPr>
            <w:r>
              <w:rPr>
                <w:sz w:val="20"/>
              </w:rPr>
            </w:r>
          </w:p>
        </w:tc>
        <w:tc>
          <w:tcPr>
            <w:tcW w:w="917" w:type="dxa"/>
          </w:tcPr>
          <w:p>
            <w:pPr>
              <w:pStyle w:val="0"/>
            </w:pPr>
            <w:r>
              <w:rPr>
                <w:sz w:val="20"/>
              </w:rPr>
            </w:r>
          </w:p>
        </w:tc>
      </w:tr>
      <w:tr>
        <w:tc>
          <w:tcPr>
            <w:tcW w:w="397" w:type="dxa"/>
          </w:tcPr>
          <w:p>
            <w:pPr>
              <w:pStyle w:val="0"/>
            </w:pPr>
            <w:r>
              <w:rPr>
                <w:sz w:val="20"/>
              </w:rPr>
            </w:r>
          </w:p>
        </w:tc>
        <w:tc>
          <w:tcPr>
            <w:tcW w:w="624" w:type="dxa"/>
          </w:tcPr>
          <w:p>
            <w:pPr>
              <w:pStyle w:val="0"/>
            </w:pPr>
            <w:r>
              <w:rPr>
                <w:sz w:val="20"/>
              </w:rPr>
            </w:r>
          </w:p>
        </w:tc>
        <w:tc>
          <w:tcPr>
            <w:tcW w:w="648" w:type="dxa"/>
          </w:tcPr>
          <w:p>
            <w:pPr>
              <w:pStyle w:val="0"/>
            </w:pPr>
            <w:r>
              <w:rPr>
                <w:sz w:val="20"/>
              </w:rPr>
            </w:r>
          </w:p>
        </w:tc>
        <w:tc>
          <w:tcPr>
            <w:tcW w:w="794" w:type="dxa"/>
          </w:tcPr>
          <w:p>
            <w:pPr>
              <w:pStyle w:val="0"/>
            </w:pPr>
            <w:r>
              <w:rPr>
                <w:sz w:val="20"/>
              </w:rPr>
            </w:r>
          </w:p>
        </w:tc>
        <w:tc>
          <w:tcPr>
            <w:tcW w:w="533"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504" w:type="dxa"/>
          </w:tcPr>
          <w:p>
            <w:pPr>
              <w:pStyle w:val="0"/>
            </w:pPr>
            <w:r>
              <w:rPr>
                <w:sz w:val="20"/>
              </w:rPr>
            </w:r>
          </w:p>
        </w:tc>
        <w:tc>
          <w:tcPr>
            <w:tcW w:w="1531"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571" w:type="dxa"/>
          </w:tcPr>
          <w:p>
            <w:pPr>
              <w:pStyle w:val="0"/>
            </w:pPr>
            <w:r>
              <w:rPr>
                <w:sz w:val="20"/>
              </w:rPr>
            </w:r>
          </w:p>
        </w:tc>
        <w:tc>
          <w:tcPr>
            <w:tcW w:w="737" w:type="dxa"/>
          </w:tcPr>
          <w:p>
            <w:pPr>
              <w:pStyle w:val="0"/>
            </w:pPr>
            <w:r>
              <w:rPr>
                <w:sz w:val="20"/>
              </w:rPr>
            </w:r>
          </w:p>
        </w:tc>
        <w:tc>
          <w:tcPr>
            <w:tcW w:w="917" w:type="dxa"/>
          </w:tcPr>
          <w:p>
            <w:pPr>
              <w:pStyle w:val="0"/>
            </w:pPr>
            <w:r>
              <w:rPr>
                <w:sz w:val="20"/>
              </w:rPr>
            </w:r>
          </w:p>
        </w:tc>
      </w:tr>
    </w:tbl>
    <w:p>
      <w:pPr>
        <w:sectPr>
          <w:headerReference w:type="default" r:id="rId90"/>
          <w:headerReference w:type="first" r:id="rId90"/>
          <w:footerReference w:type="default" r:id="rId91"/>
          <w:footerReference w:type="first" r:id="rId91"/>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762"/>
        <w:gridCol w:w="1290"/>
        <w:gridCol w:w="340"/>
        <w:gridCol w:w="2665"/>
      </w:tblGrid>
      <w:tr>
        <w:tc>
          <w:tcPr>
            <w:tcW w:w="4762" w:type="dxa"/>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w:t>
            </w:r>
          </w:p>
        </w:tc>
        <w:tc>
          <w:tcPr>
            <w:gridSpan w:val="3"/>
            <w:tcW w:w="4295"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r>
        <w:tc>
          <w:tcPr>
            <w:tcW w:w="4762" w:type="dxa"/>
            <w:tcBorders>
              <w:top w:val="nil"/>
              <w:left w:val="nil"/>
              <w:bottom w:val="nil"/>
              <w:right w:val="nil"/>
            </w:tcBorders>
          </w:tcPr>
          <w:p>
            <w:pPr>
              <w:pStyle w:val="0"/>
            </w:pPr>
            <w:r>
              <w:rPr>
                <w:sz w:val="20"/>
              </w:rPr>
              <w:t xml:space="preserve">Ответственный исполнитель</w:t>
            </w:r>
          </w:p>
        </w:tc>
        <w:tc>
          <w:tcPr>
            <w:tcW w:w="12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single" w:sz="4"/>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outlineLvl w:val="2"/>
        <w:jc w:val="both"/>
      </w:pPr>
      <w:r>
        <w:rPr>
          <w:sz w:val="20"/>
        </w:rPr>
        <w:t xml:space="preserve">Данные за __ квартал 202_ год</w:t>
      </w:r>
    </w:p>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907"/>
        <w:gridCol w:w="907"/>
        <w:gridCol w:w="737"/>
        <w:gridCol w:w="1644"/>
        <w:gridCol w:w="1304"/>
        <w:gridCol w:w="1587"/>
        <w:gridCol w:w="1020"/>
        <w:gridCol w:w="964"/>
        <w:gridCol w:w="1361"/>
      </w:tblGrid>
      <w:tr>
        <w:tc>
          <w:tcPr>
            <w:tcW w:w="737" w:type="dxa"/>
            <w:vMerge w:val="restart"/>
          </w:tcPr>
          <w:p>
            <w:pPr>
              <w:pStyle w:val="0"/>
              <w:jc w:val="center"/>
            </w:pPr>
            <w:r>
              <w:rPr>
                <w:sz w:val="20"/>
              </w:rPr>
              <w:t xml:space="preserve">N</w:t>
            </w:r>
          </w:p>
        </w:tc>
        <w:tc>
          <w:tcPr>
            <w:tcW w:w="907" w:type="dxa"/>
            <w:vMerge w:val="restart"/>
          </w:tcPr>
          <w:p>
            <w:pPr>
              <w:pStyle w:val="0"/>
              <w:jc w:val="center"/>
            </w:pPr>
            <w:r>
              <w:rPr>
                <w:sz w:val="20"/>
              </w:rPr>
              <w:t xml:space="preserve">Сроки строительства</w:t>
            </w:r>
          </w:p>
        </w:tc>
        <w:tc>
          <w:tcPr>
            <w:tcW w:w="907" w:type="dxa"/>
            <w:vMerge w:val="restart"/>
          </w:tcPr>
          <w:p>
            <w:pPr>
              <w:pStyle w:val="0"/>
              <w:jc w:val="center"/>
            </w:pPr>
            <w:r>
              <w:rPr>
                <w:sz w:val="20"/>
              </w:rPr>
              <w:t xml:space="preserve">Мощность объекта</w:t>
            </w:r>
          </w:p>
        </w:tc>
        <w:tc>
          <w:tcPr>
            <w:tcW w:w="737" w:type="dxa"/>
            <w:vMerge w:val="restart"/>
          </w:tcPr>
          <w:p>
            <w:pPr>
              <w:pStyle w:val="0"/>
              <w:jc w:val="center"/>
            </w:pPr>
            <w:r>
              <w:rPr>
                <w:sz w:val="20"/>
              </w:rPr>
              <w:t xml:space="preserve">Ед. измерения</w:t>
            </w:r>
          </w:p>
        </w:tc>
        <w:tc>
          <w:tcPr>
            <w:tcW w:w="1644" w:type="dxa"/>
          </w:tcPr>
          <w:p>
            <w:pPr>
              <w:pStyle w:val="0"/>
              <w:jc w:val="center"/>
            </w:pPr>
            <w:r>
              <w:rPr>
                <w:sz w:val="20"/>
              </w:rPr>
              <w:t xml:space="preserve">Стоимость по утвержденной проектно-сметной документации (тыс. рублей)</w:t>
            </w:r>
          </w:p>
        </w:tc>
        <w:tc>
          <w:tcPr>
            <w:tcW w:w="1304" w:type="dxa"/>
          </w:tcPr>
          <w:p>
            <w:pPr>
              <w:pStyle w:val="0"/>
              <w:jc w:val="center"/>
            </w:pPr>
            <w:r>
              <w:rPr>
                <w:sz w:val="20"/>
              </w:rPr>
              <w:t xml:space="preserve">Освоено (введено) на 1 января 202_ года (тыс. рублей)</w:t>
            </w:r>
          </w:p>
        </w:tc>
        <w:tc>
          <w:tcPr>
            <w:tcW w:w="1587" w:type="dxa"/>
          </w:tcPr>
          <w:p>
            <w:pPr>
              <w:pStyle w:val="0"/>
              <w:jc w:val="center"/>
            </w:pPr>
            <w:r>
              <w:rPr>
                <w:sz w:val="20"/>
              </w:rPr>
              <w:t xml:space="preserve">Подлежит освоению (вводу) до конца строительства (тыс. рублей)</w:t>
            </w:r>
          </w:p>
        </w:tc>
        <w:tc>
          <w:tcPr>
            <w:tcW w:w="1020" w:type="dxa"/>
            <w:vMerge w:val="restart"/>
          </w:tcPr>
          <w:p>
            <w:pPr>
              <w:pStyle w:val="0"/>
              <w:jc w:val="center"/>
            </w:pPr>
            <w:r>
              <w:rPr>
                <w:sz w:val="20"/>
              </w:rPr>
              <w:t xml:space="preserve">Процент технической готовности</w:t>
            </w:r>
          </w:p>
        </w:tc>
        <w:tc>
          <w:tcPr>
            <w:gridSpan w:val="2"/>
            <w:tcW w:w="2325" w:type="dxa"/>
          </w:tcPr>
          <w:p>
            <w:pPr>
              <w:pStyle w:val="0"/>
              <w:jc w:val="center"/>
            </w:pPr>
            <w:r>
              <w:rPr>
                <w:sz w:val="20"/>
              </w:rPr>
              <w:t xml:space="preserve">Предусмотрено на 202_год за счет всех источников финансирования (тыс. рублей)</w:t>
            </w:r>
          </w:p>
        </w:tc>
      </w:tr>
      <w:tr>
        <w:tc>
          <w:tcPr>
            <w:vMerge w:val="continue"/>
          </w:tcPr>
          <w:p/>
        </w:tc>
        <w:tc>
          <w:tcPr>
            <w:vMerge w:val="continue"/>
          </w:tcPr>
          <w:p/>
        </w:tc>
        <w:tc>
          <w:tcPr>
            <w:vMerge w:val="continue"/>
          </w:tcPr>
          <w:p/>
        </w:tc>
        <w:tc>
          <w:tcPr>
            <w:vMerge w:val="continue"/>
          </w:tcPr>
          <w:p/>
        </w:tc>
        <w:tc>
          <w:tcPr>
            <w:gridSpan w:val="3"/>
            <w:tcW w:w="4535" w:type="dxa"/>
          </w:tcPr>
          <w:p>
            <w:pPr>
              <w:pStyle w:val="0"/>
              <w:jc w:val="center"/>
            </w:pPr>
            <w:r>
              <w:rPr>
                <w:sz w:val="20"/>
              </w:rPr>
              <w:t xml:space="preserve">(в ценах утвержденной документации)</w:t>
            </w:r>
          </w:p>
        </w:tc>
        <w:tc>
          <w:tcPr>
            <w:vMerge w:val="continue"/>
          </w:tcPr>
          <w:p/>
        </w:tc>
        <w:tc>
          <w:tcPr>
            <w:tcW w:w="964" w:type="dxa"/>
          </w:tcPr>
          <w:p>
            <w:pPr>
              <w:pStyle w:val="0"/>
              <w:jc w:val="center"/>
            </w:pPr>
            <w:r>
              <w:rPr>
                <w:sz w:val="20"/>
              </w:rPr>
              <w:t xml:space="preserve">в ценах, утвержденных документацией</w:t>
            </w:r>
          </w:p>
        </w:tc>
        <w:tc>
          <w:tcPr>
            <w:tcW w:w="1361" w:type="dxa"/>
          </w:tcPr>
          <w:p>
            <w:pPr>
              <w:pStyle w:val="0"/>
              <w:jc w:val="center"/>
            </w:pPr>
            <w:r>
              <w:rPr>
                <w:sz w:val="20"/>
              </w:rPr>
              <w:t xml:space="preserve">в текущих ценах (с учетом снижения в результате торговых процедур)</w:t>
            </w:r>
          </w:p>
        </w:tc>
      </w:tr>
      <w:tr>
        <w:tc>
          <w:tcPr>
            <w:tcW w:w="737" w:type="dxa"/>
          </w:tcPr>
          <w:p>
            <w:pPr>
              <w:pStyle w:val="0"/>
              <w:jc w:val="center"/>
            </w:pPr>
            <w:r>
              <w:rPr>
                <w:sz w:val="20"/>
              </w:rPr>
              <w:t xml:space="preserve">1</w:t>
            </w:r>
          </w:p>
        </w:tc>
        <w:tc>
          <w:tcPr>
            <w:tcW w:w="907" w:type="dxa"/>
          </w:tcPr>
          <w:p>
            <w:pPr>
              <w:pStyle w:val="0"/>
              <w:jc w:val="center"/>
            </w:pPr>
            <w:r>
              <w:rPr>
                <w:sz w:val="20"/>
              </w:rPr>
              <w:t xml:space="preserve">2</w:t>
            </w:r>
          </w:p>
        </w:tc>
        <w:tc>
          <w:tcPr>
            <w:tcW w:w="907" w:type="dxa"/>
          </w:tcPr>
          <w:p>
            <w:pPr>
              <w:pStyle w:val="0"/>
              <w:jc w:val="center"/>
            </w:pPr>
            <w:r>
              <w:rPr>
                <w:sz w:val="20"/>
              </w:rPr>
              <w:t xml:space="preserve">3</w:t>
            </w:r>
          </w:p>
        </w:tc>
        <w:tc>
          <w:tcPr>
            <w:tcW w:w="737" w:type="dxa"/>
          </w:tcPr>
          <w:p>
            <w:pPr>
              <w:pStyle w:val="0"/>
              <w:jc w:val="center"/>
            </w:pPr>
            <w:r>
              <w:rPr>
                <w:sz w:val="20"/>
              </w:rPr>
              <w:t xml:space="preserve">4</w:t>
            </w:r>
          </w:p>
        </w:tc>
        <w:tc>
          <w:tcPr>
            <w:tcW w:w="1644" w:type="dxa"/>
          </w:tcPr>
          <w:p>
            <w:pPr>
              <w:pStyle w:val="0"/>
              <w:jc w:val="center"/>
            </w:pPr>
            <w:r>
              <w:rPr>
                <w:sz w:val="20"/>
              </w:rPr>
              <w:t xml:space="preserve">5</w:t>
            </w:r>
          </w:p>
        </w:tc>
        <w:tc>
          <w:tcPr>
            <w:tcW w:w="1304" w:type="dxa"/>
          </w:tcPr>
          <w:p>
            <w:pPr>
              <w:pStyle w:val="0"/>
              <w:jc w:val="center"/>
            </w:pPr>
            <w:r>
              <w:rPr>
                <w:sz w:val="20"/>
              </w:rPr>
              <w:t xml:space="preserve">6</w:t>
            </w:r>
          </w:p>
        </w:tc>
        <w:tc>
          <w:tcPr>
            <w:tcW w:w="1587" w:type="dxa"/>
          </w:tcPr>
          <w:p>
            <w:pPr>
              <w:pStyle w:val="0"/>
              <w:jc w:val="center"/>
            </w:pPr>
            <w:r>
              <w:rPr>
                <w:sz w:val="20"/>
              </w:rPr>
              <w:t xml:space="preserve">7</w:t>
            </w:r>
          </w:p>
        </w:tc>
        <w:tc>
          <w:tcPr>
            <w:tcW w:w="1020" w:type="dxa"/>
          </w:tcPr>
          <w:p>
            <w:pPr>
              <w:pStyle w:val="0"/>
              <w:jc w:val="center"/>
            </w:pPr>
            <w:r>
              <w:rPr>
                <w:sz w:val="20"/>
              </w:rPr>
              <w:t xml:space="preserve">8</w:t>
            </w:r>
          </w:p>
        </w:tc>
        <w:tc>
          <w:tcPr>
            <w:tcW w:w="964" w:type="dxa"/>
          </w:tcPr>
          <w:p>
            <w:pPr>
              <w:pStyle w:val="0"/>
              <w:jc w:val="center"/>
            </w:pPr>
            <w:r>
              <w:rPr>
                <w:sz w:val="20"/>
              </w:rPr>
              <w:t xml:space="preserve">9</w:t>
            </w:r>
          </w:p>
        </w:tc>
        <w:tc>
          <w:tcPr>
            <w:tcW w:w="1361" w:type="dxa"/>
          </w:tcPr>
          <w:p>
            <w:pPr>
              <w:pStyle w:val="0"/>
              <w:jc w:val="center"/>
            </w:pPr>
            <w:r>
              <w:rPr>
                <w:sz w:val="20"/>
              </w:rPr>
              <w:t xml:space="preserve">10</w:t>
            </w:r>
          </w:p>
        </w:tc>
      </w:tr>
      <w:tr>
        <w:tc>
          <w:tcPr>
            <w:tcW w:w="73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361" w:type="dxa"/>
          </w:tcPr>
          <w:p>
            <w:pPr>
              <w:pStyle w:val="0"/>
            </w:pPr>
            <w:r>
              <w:rPr>
                <w:sz w:val="20"/>
              </w:rPr>
            </w:r>
          </w:p>
        </w:tc>
      </w:tr>
      <w:tr>
        <w:tc>
          <w:tcPr>
            <w:tcW w:w="737" w:type="dxa"/>
          </w:tcPr>
          <w:p>
            <w:pPr>
              <w:pStyle w:val="0"/>
            </w:pPr>
            <w:r>
              <w:rPr>
                <w:sz w:val="20"/>
              </w:rPr>
              <w:t xml:space="preserve">Всего</w:t>
            </w:r>
          </w:p>
        </w:tc>
        <w:tc>
          <w:tcPr>
            <w:tcW w:w="90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361" w:type="dxa"/>
          </w:tcPr>
          <w:p>
            <w:pPr>
              <w:pStyle w:val="0"/>
            </w:pPr>
            <w:r>
              <w:rPr>
                <w:sz w:val="20"/>
              </w:rPr>
            </w:r>
          </w:p>
        </w:tc>
      </w:tr>
    </w:tbl>
    <w:p>
      <w:pPr>
        <w:sectPr>
          <w:headerReference w:type="default" r:id="rId90"/>
          <w:headerReference w:type="first" r:id="rId90"/>
          <w:footerReference w:type="default" r:id="rId91"/>
          <w:footerReference w:type="first" r:id="rId91"/>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762"/>
        <w:gridCol w:w="1290"/>
        <w:gridCol w:w="340"/>
        <w:gridCol w:w="2665"/>
      </w:tblGrid>
      <w:tr>
        <w:tc>
          <w:tcPr>
            <w:tcW w:w="4762" w:type="dxa"/>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w:t>
            </w:r>
          </w:p>
        </w:tc>
        <w:tc>
          <w:tcPr>
            <w:gridSpan w:val="3"/>
            <w:tcW w:w="4295"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r>
        <w:tc>
          <w:tcPr>
            <w:tcW w:w="4762" w:type="dxa"/>
            <w:tcBorders>
              <w:top w:val="nil"/>
              <w:left w:val="nil"/>
              <w:bottom w:val="nil"/>
              <w:right w:val="nil"/>
            </w:tcBorders>
          </w:tcPr>
          <w:p>
            <w:pPr>
              <w:pStyle w:val="0"/>
            </w:pPr>
            <w:r>
              <w:rPr>
                <w:sz w:val="20"/>
              </w:rPr>
              <w:t xml:space="preserve">Ответственный исполнитель</w:t>
            </w:r>
          </w:p>
        </w:tc>
        <w:tc>
          <w:tcPr>
            <w:tcW w:w="12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single" w:sz="4"/>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outlineLvl w:val="2"/>
        <w:jc w:val="both"/>
      </w:pPr>
      <w:r>
        <w:rPr>
          <w:sz w:val="20"/>
        </w:rPr>
        <w:t xml:space="preserve">Данные за __ квартал 202_ года</w:t>
      </w:r>
    </w:p>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10"/>
        <w:gridCol w:w="850"/>
        <w:gridCol w:w="680"/>
        <w:gridCol w:w="454"/>
        <w:gridCol w:w="850"/>
        <w:gridCol w:w="624"/>
        <w:gridCol w:w="710"/>
        <w:gridCol w:w="510"/>
        <w:gridCol w:w="1304"/>
        <w:gridCol w:w="1020"/>
        <w:gridCol w:w="454"/>
        <w:gridCol w:w="1304"/>
        <w:gridCol w:w="1361"/>
      </w:tblGrid>
      <w:tr>
        <w:tc>
          <w:tcPr>
            <w:tcW w:w="737" w:type="dxa"/>
          </w:tcPr>
          <w:p>
            <w:pPr>
              <w:pStyle w:val="0"/>
              <w:jc w:val="center"/>
            </w:pPr>
            <w:r>
              <w:rPr>
                <w:sz w:val="20"/>
              </w:rPr>
              <w:t xml:space="preserve">N</w:t>
            </w:r>
          </w:p>
        </w:tc>
        <w:tc>
          <w:tcPr>
            <w:gridSpan w:val="3"/>
            <w:tcW w:w="2040" w:type="dxa"/>
          </w:tcPr>
          <w:p>
            <w:pPr>
              <w:pStyle w:val="0"/>
              <w:jc w:val="center"/>
            </w:pPr>
            <w:r>
              <w:rPr>
                <w:sz w:val="20"/>
              </w:rPr>
              <w:t xml:space="preserve">Капитальные вложения в 202_ году (тыс. рублей)</w:t>
            </w:r>
          </w:p>
        </w:tc>
        <w:tc>
          <w:tcPr>
            <w:gridSpan w:val="3"/>
            <w:tcW w:w="1928" w:type="dxa"/>
          </w:tcPr>
          <w:p>
            <w:pPr>
              <w:pStyle w:val="0"/>
              <w:jc w:val="center"/>
            </w:pPr>
            <w:r>
              <w:rPr>
                <w:sz w:val="20"/>
              </w:rPr>
              <w:t xml:space="preserve">Приобретение оборудования в 202_ году (тыс. рублей)</w:t>
            </w:r>
          </w:p>
        </w:tc>
        <w:tc>
          <w:tcPr>
            <w:tcW w:w="710" w:type="dxa"/>
            <w:vMerge w:val="restart"/>
          </w:tcPr>
          <w:p>
            <w:pPr>
              <w:pStyle w:val="0"/>
              <w:jc w:val="center"/>
            </w:pPr>
            <w:r>
              <w:rPr>
                <w:sz w:val="20"/>
              </w:rPr>
              <w:t xml:space="preserve">Уровень контрактования, (в %)</w:t>
            </w:r>
          </w:p>
        </w:tc>
        <w:tc>
          <w:tcPr>
            <w:gridSpan w:val="3"/>
            <w:tcW w:w="2834" w:type="dxa"/>
          </w:tcPr>
          <w:p>
            <w:pPr>
              <w:pStyle w:val="0"/>
              <w:jc w:val="center"/>
            </w:pPr>
            <w:r>
              <w:rPr>
                <w:sz w:val="20"/>
              </w:rPr>
              <w:t xml:space="preserve">Количество объектов</w:t>
            </w:r>
          </w:p>
        </w:tc>
        <w:tc>
          <w:tcPr>
            <w:gridSpan w:val="2"/>
            <w:tcW w:w="1758" w:type="dxa"/>
          </w:tcPr>
          <w:p>
            <w:pPr>
              <w:pStyle w:val="0"/>
              <w:jc w:val="center"/>
            </w:pPr>
            <w:r>
              <w:rPr>
                <w:sz w:val="20"/>
              </w:rPr>
              <w:t xml:space="preserve">Количество контрактов (договоров), действующих в 202_ году (единиц)</w:t>
            </w:r>
          </w:p>
        </w:tc>
        <w:tc>
          <w:tcPr>
            <w:tcW w:w="1361" w:type="dxa"/>
            <w:vMerge w:val="restart"/>
          </w:tcPr>
          <w:p>
            <w:pPr>
              <w:pStyle w:val="0"/>
              <w:jc w:val="center"/>
            </w:pPr>
            <w:r>
              <w:rPr>
                <w:sz w:val="20"/>
              </w:rPr>
              <w:t xml:space="preserve">Причины несвоевременного заключения контрактов (договоров)</w:t>
            </w:r>
          </w:p>
        </w:tc>
      </w:tr>
      <w:tr>
        <w:tc>
          <w:tcPr>
            <w:tcW w:w="737" w:type="dxa"/>
          </w:tcPr>
          <w:p>
            <w:pPr>
              <w:pStyle w:val="0"/>
            </w:pPr>
            <w:r>
              <w:rPr>
                <w:sz w:val="20"/>
              </w:rPr>
            </w:r>
          </w:p>
        </w:tc>
        <w:tc>
          <w:tcPr>
            <w:tcW w:w="510" w:type="dxa"/>
          </w:tcPr>
          <w:p>
            <w:pPr>
              <w:pStyle w:val="0"/>
              <w:jc w:val="center"/>
            </w:pPr>
            <w:r>
              <w:rPr>
                <w:sz w:val="20"/>
              </w:rPr>
              <w:t xml:space="preserve">всего на год</w:t>
            </w:r>
          </w:p>
        </w:tc>
        <w:tc>
          <w:tcPr>
            <w:tcW w:w="850" w:type="dxa"/>
          </w:tcPr>
          <w:p>
            <w:pPr>
              <w:pStyle w:val="0"/>
              <w:jc w:val="center"/>
            </w:pPr>
            <w:r>
              <w:rPr>
                <w:sz w:val="20"/>
              </w:rPr>
              <w:t xml:space="preserve">в том числе за счет федерального бюджета</w:t>
            </w:r>
          </w:p>
        </w:tc>
        <w:tc>
          <w:tcPr>
            <w:tcW w:w="680" w:type="dxa"/>
          </w:tcPr>
          <w:p>
            <w:pPr>
              <w:pStyle w:val="0"/>
              <w:jc w:val="center"/>
            </w:pPr>
            <w:r>
              <w:rPr>
                <w:sz w:val="20"/>
              </w:rPr>
              <w:t xml:space="preserve">законтрактовано</w:t>
            </w:r>
          </w:p>
        </w:tc>
        <w:tc>
          <w:tcPr>
            <w:tcW w:w="454" w:type="dxa"/>
          </w:tcPr>
          <w:p>
            <w:pPr>
              <w:pStyle w:val="0"/>
              <w:jc w:val="center"/>
            </w:pPr>
            <w:r>
              <w:rPr>
                <w:sz w:val="20"/>
              </w:rPr>
              <w:t xml:space="preserve">всего на год</w:t>
            </w:r>
          </w:p>
        </w:tc>
        <w:tc>
          <w:tcPr>
            <w:tcW w:w="850" w:type="dxa"/>
          </w:tcPr>
          <w:p>
            <w:pPr>
              <w:pStyle w:val="0"/>
              <w:jc w:val="center"/>
            </w:pPr>
            <w:r>
              <w:rPr>
                <w:sz w:val="20"/>
              </w:rPr>
              <w:t xml:space="preserve">в том числе за счет федерального бюджета</w:t>
            </w:r>
          </w:p>
        </w:tc>
        <w:tc>
          <w:tcPr>
            <w:tcW w:w="624" w:type="dxa"/>
          </w:tcPr>
          <w:p>
            <w:pPr>
              <w:pStyle w:val="0"/>
              <w:jc w:val="center"/>
            </w:pPr>
            <w:r>
              <w:rPr>
                <w:sz w:val="20"/>
              </w:rPr>
              <w:t xml:space="preserve">законтрактовано</w:t>
            </w:r>
          </w:p>
        </w:tc>
        <w:tc>
          <w:tcPr>
            <w:vMerge w:val="continue"/>
          </w:tcPr>
          <w:p/>
        </w:tc>
        <w:tc>
          <w:tcPr>
            <w:tcW w:w="510" w:type="dxa"/>
          </w:tcPr>
          <w:p>
            <w:pPr>
              <w:pStyle w:val="0"/>
              <w:jc w:val="center"/>
            </w:pPr>
            <w:r>
              <w:rPr>
                <w:sz w:val="20"/>
              </w:rPr>
              <w:t xml:space="preserve">всего</w:t>
            </w:r>
          </w:p>
        </w:tc>
        <w:tc>
          <w:tcPr>
            <w:tcW w:w="1304" w:type="dxa"/>
          </w:tcPr>
          <w:p>
            <w:pPr>
              <w:pStyle w:val="0"/>
              <w:jc w:val="center"/>
            </w:pPr>
            <w:r>
              <w:rPr>
                <w:sz w:val="20"/>
              </w:rPr>
              <w:t xml:space="preserve">по которым заключены контракты (договоры)</w:t>
            </w:r>
          </w:p>
        </w:tc>
        <w:tc>
          <w:tcPr>
            <w:tcW w:w="1020" w:type="dxa"/>
          </w:tcPr>
          <w:p>
            <w:pPr>
              <w:pStyle w:val="0"/>
              <w:jc w:val="center"/>
            </w:pPr>
            <w:r>
              <w:rPr>
                <w:sz w:val="20"/>
              </w:rPr>
              <w:t xml:space="preserve">по которым начаты работы в 202_ году</w:t>
            </w:r>
          </w:p>
        </w:tc>
        <w:tc>
          <w:tcPr>
            <w:tcW w:w="454" w:type="dxa"/>
          </w:tcPr>
          <w:p>
            <w:pPr>
              <w:pStyle w:val="0"/>
              <w:jc w:val="center"/>
            </w:pPr>
            <w:r>
              <w:rPr>
                <w:sz w:val="20"/>
              </w:rPr>
              <w:t xml:space="preserve">всего</w:t>
            </w:r>
          </w:p>
        </w:tc>
        <w:tc>
          <w:tcPr>
            <w:tcW w:w="1304" w:type="dxa"/>
          </w:tcPr>
          <w:p>
            <w:pPr>
              <w:pStyle w:val="0"/>
              <w:jc w:val="center"/>
            </w:pPr>
            <w:r>
              <w:rPr>
                <w:sz w:val="20"/>
              </w:rPr>
              <w:t xml:space="preserve">в том числе контракты, заключенные в предшествующем году</w:t>
            </w:r>
          </w:p>
        </w:tc>
        <w:tc>
          <w:tcPr>
            <w:vMerge w:val="continue"/>
          </w:tcPr>
          <w:p/>
        </w:tc>
      </w:tr>
      <w:tr>
        <w:tc>
          <w:tcPr>
            <w:tcW w:w="737" w:type="dxa"/>
          </w:tcPr>
          <w:p>
            <w:pPr>
              <w:pStyle w:val="0"/>
              <w:jc w:val="center"/>
            </w:pPr>
            <w:r>
              <w:rPr>
                <w:sz w:val="20"/>
              </w:rPr>
              <w:t xml:space="preserve">1</w:t>
            </w:r>
          </w:p>
        </w:tc>
        <w:tc>
          <w:tcPr>
            <w:tcW w:w="510" w:type="dxa"/>
          </w:tcPr>
          <w:p>
            <w:pPr>
              <w:pStyle w:val="0"/>
              <w:jc w:val="center"/>
            </w:pPr>
            <w:r>
              <w:rPr>
                <w:sz w:val="20"/>
              </w:rPr>
              <w:t xml:space="preserve">2</w:t>
            </w:r>
          </w:p>
        </w:tc>
        <w:tc>
          <w:tcPr>
            <w:tcW w:w="850" w:type="dxa"/>
          </w:tcPr>
          <w:p>
            <w:pPr>
              <w:pStyle w:val="0"/>
              <w:jc w:val="center"/>
            </w:pPr>
            <w:r>
              <w:rPr>
                <w:sz w:val="20"/>
              </w:rPr>
              <w:t xml:space="preserve">3</w:t>
            </w:r>
          </w:p>
        </w:tc>
        <w:tc>
          <w:tcPr>
            <w:tcW w:w="680" w:type="dxa"/>
          </w:tcPr>
          <w:p>
            <w:pPr>
              <w:pStyle w:val="0"/>
              <w:jc w:val="center"/>
            </w:pPr>
            <w:r>
              <w:rPr>
                <w:sz w:val="20"/>
              </w:rPr>
              <w:t xml:space="preserve">4</w:t>
            </w:r>
          </w:p>
        </w:tc>
        <w:tc>
          <w:tcPr>
            <w:tcW w:w="454" w:type="dxa"/>
          </w:tcPr>
          <w:p>
            <w:pPr>
              <w:pStyle w:val="0"/>
              <w:jc w:val="center"/>
            </w:pPr>
            <w:r>
              <w:rPr>
                <w:sz w:val="20"/>
              </w:rPr>
              <w:t xml:space="preserve">5</w:t>
            </w:r>
          </w:p>
        </w:tc>
        <w:tc>
          <w:tcPr>
            <w:tcW w:w="850" w:type="dxa"/>
          </w:tcPr>
          <w:p>
            <w:pPr>
              <w:pStyle w:val="0"/>
              <w:jc w:val="center"/>
            </w:pPr>
            <w:r>
              <w:rPr>
                <w:sz w:val="20"/>
              </w:rPr>
              <w:t xml:space="preserve">6</w:t>
            </w:r>
          </w:p>
        </w:tc>
        <w:tc>
          <w:tcPr>
            <w:tcW w:w="624" w:type="dxa"/>
          </w:tcPr>
          <w:p>
            <w:pPr>
              <w:pStyle w:val="0"/>
              <w:jc w:val="center"/>
            </w:pPr>
            <w:r>
              <w:rPr>
                <w:sz w:val="20"/>
              </w:rPr>
              <w:t xml:space="preserve">7</w:t>
            </w:r>
          </w:p>
        </w:tc>
        <w:tc>
          <w:tcPr>
            <w:tcW w:w="710" w:type="dxa"/>
          </w:tcPr>
          <w:p>
            <w:pPr>
              <w:pStyle w:val="0"/>
              <w:jc w:val="center"/>
            </w:pPr>
            <w:r>
              <w:rPr>
                <w:sz w:val="20"/>
              </w:rPr>
              <w:t xml:space="preserve">8</w:t>
            </w:r>
          </w:p>
        </w:tc>
        <w:tc>
          <w:tcPr>
            <w:tcW w:w="510" w:type="dxa"/>
          </w:tcPr>
          <w:p>
            <w:pPr>
              <w:pStyle w:val="0"/>
              <w:jc w:val="center"/>
            </w:pPr>
            <w:r>
              <w:rPr>
                <w:sz w:val="20"/>
              </w:rPr>
              <w:t xml:space="preserve">9</w:t>
            </w:r>
          </w:p>
        </w:tc>
        <w:tc>
          <w:tcPr>
            <w:tcW w:w="1304" w:type="dxa"/>
          </w:tcPr>
          <w:p>
            <w:pPr>
              <w:pStyle w:val="0"/>
              <w:jc w:val="center"/>
            </w:pPr>
            <w:r>
              <w:rPr>
                <w:sz w:val="20"/>
              </w:rPr>
              <w:t xml:space="preserve">10</w:t>
            </w:r>
          </w:p>
        </w:tc>
        <w:tc>
          <w:tcPr>
            <w:tcW w:w="1020" w:type="dxa"/>
          </w:tcPr>
          <w:p>
            <w:pPr>
              <w:pStyle w:val="0"/>
              <w:jc w:val="center"/>
            </w:pPr>
            <w:r>
              <w:rPr>
                <w:sz w:val="20"/>
              </w:rPr>
              <w:t xml:space="preserve">11</w:t>
            </w:r>
          </w:p>
        </w:tc>
        <w:tc>
          <w:tcPr>
            <w:tcW w:w="454" w:type="dxa"/>
          </w:tcPr>
          <w:p>
            <w:pPr>
              <w:pStyle w:val="0"/>
              <w:jc w:val="center"/>
            </w:pPr>
            <w:r>
              <w:rPr>
                <w:sz w:val="20"/>
              </w:rPr>
              <w:t xml:space="preserve">12</w:t>
            </w:r>
          </w:p>
        </w:tc>
        <w:tc>
          <w:tcPr>
            <w:tcW w:w="1304" w:type="dxa"/>
          </w:tcPr>
          <w:p>
            <w:pPr>
              <w:pStyle w:val="0"/>
              <w:jc w:val="center"/>
            </w:pPr>
            <w:r>
              <w:rPr>
                <w:sz w:val="20"/>
              </w:rPr>
              <w:t xml:space="preserve">13</w:t>
            </w:r>
          </w:p>
        </w:tc>
        <w:tc>
          <w:tcPr>
            <w:tcW w:w="1361" w:type="dxa"/>
          </w:tcPr>
          <w:p>
            <w:pPr>
              <w:pStyle w:val="0"/>
              <w:jc w:val="center"/>
            </w:pPr>
            <w:r>
              <w:rPr>
                <w:sz w:val="20"/>
              </w:rPr>
              <w:t xml:space="preserve">14</w:t>
            </w:r>
          </w:p>
        </w:tc>
      </w:tr>
      <w:tr>
        <w:tc>
          <w:tcPr>
            <w:tcW w:w="737"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454"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10" w:type="dxa"/>
          </w:tcPr>
          <w:p>
            <w:pPr>
              <w:pStyle w:val="0"/>
            </w:pPr>
            <w:r>
              <w:rPr>
                <w:sz w:val="20"/>
              </w:rPr>
            </w:r>
          </w:p>
        </w:tc>
        <w:tc>
          <w:tcPr>
            <w:tcW w:w="510" w:type="dxa"/>
          </w:tcPr>
          <w:p>
            <w:pPr>
              <w:pStyle w:val="0"/>
            </w:pPr>
            <w:r>
              <w:rPr>
                <w:sz w:val="20"/>
              </w:rPr>
            </w:r>
          </w:p>
        </w:tc>
        <w:tc>
          <w:tcPr>
            <w:tcW w:w="1304" w:type="dxa"/>
          </w:tcPr>
          <w:p>
            <w:pPr>
              <w:pStyle w:val="0"/>
            </w:pPr>
            <w:r>
              <w:rPr>
                <w:sz w:val="20"/>
              </w:rPr>
            </w:r>
          </w:p>
        </w:tc>
        <w:tc>
          <w:tcPr>
            <w:tcW w:w="1020" w:type="dxa"/>
          </w:tcPr>
          <w:p>
            <w:pPr>
              <w:pStyle w:val="0"/>
            </w:pPr>
            <w:r>
              <w:rPr>
                <w:sz w:val="20"/>
              </w:rPr>
            </w:r>
          </w:p>
        </w:tc>
        <w:tc>
          <w:tcPr>
            <w:tcW w:w="454" w:type="dxa"/>
          </w:tcPr>
          <w:p>
            <w:pPr>
              <w:pStyle w:val="0"/>
            </w:pPr>
            <w:r>
              <w:rPr>
                <w:sz w:val="20"/>
              </w:rPr>
            </w:r>
          </w:p>
        </w:tc>
        <w:tc>
          <w:tcPr>
            <w:tcW w:w="1304" w:type="dxa"/>
          </w:tcPr>
          <w:p>
            <w:pPr>
              <w:pStyle w:val="0"/>
            </w:pPr>
            <w:r>
              <w:rPr>
                <w:sz w:val="20"/>
              </w:rPr>
            </w:r>
          </w:p>
        </w:tc>
        <w:tc>
          <w:tcPr>
            <w:tcW w:w="1361" w:type="dxa"/>
          </w:tcPr>
          <w:p>
            <w:pPr>
              <w:pStyle w:val="0"/>
            </w:pPr>
            <w:r>
              <w:rPr>
                <w:sz w:val="20"/>
              </w:rPr>
            </w:r>
          </w:p>
        </w:tc>
      </w:tr>
      <w:tr>
        <w:tc>
          <w:tcPr>
            <w:tcW w:w="737" w:type="dxa"/>
          </w:tcPr>
          <w:p>
            <w:pPr>
              <w:pStyle w:val="0"/>
            </w:pPr>
            <w:r>
              <w:rPr>
                <w:sz w:val="20"/>
              </w:rPr>
              <w:t xml:space="preserve">Всего</w:t>
            </w:r>
          </w:p>
        </w:tc>
        <w:tc>
          <w:tcPr>
            <w:tcW w:w="510"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454"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10" w:type="dxa"/>
          </w:tcPr>
          <w:p>
            <w:pPr>
              <w:pStyle w:val="0"/>
            </w:pPr>
            <w:r>
              <w:rPr>
                <w:sz w:val="20"/>
              </w:rPr>
            </w:r>
          </w:p>
        </w:tc>
        <w:tc>
          <w:tcPr>
            <w:tcW w:w="510" w:type="dxa"/>
          </w:tcPr>
          <w:p>
            <w:pPr>
              <w:pStyle w:val="0"/>
            </w:pPr>
            <w:r>
              <w:rPr>
                <w:sz w:val="20"/>
              </w:rPr>
            </w:r>
          </w:p>
        </w:tc>
        <w:tc>
          <w:tcPr>
            <w:tcW w:w="1304" w:type="dxa"/>
          </w:tcPr>
          <w:p>
            <w:pPr>
              <w:pStyle w:val="0"/>
            </w:pPr>
            <w:r>
              <w:rPr>
                <w:sz w:val="20"/>
              </w:rPr>
            </w:r>
          </w:p>
        </w:tc>
        <w:tc>
          <w:tcPr>
            <w:tcW w:w="1020" w:type="dxa"/>
          </w:tcPr>
          <w:p>
            <w:pPr>
              <w:pStyle w:val="0"/>
            </w:pPr>
            <w:r>
              <w:rPr>
                <w:sz w:val="20"/>
              </w:rPr>
            </w:r>
          </w:p>
        </w:tc>
        <w:tc>
          <w:tcPr>
            <w:tcW w:w="454" w:type="dxa"/>
          </w:tcPr>
          <w:p>
            <w:pPr>
              <w:pStyle w:val="0"/>
            </w:pPr>
            <w:r>
              <w:rPr>
                <w:sz w:val="20"/>
              </w:rPr>
            </w:r>
          </w:p>
        </w:tc>
        <w:tc>
          <w:tcPr>
            <w:tcW w:w="1304" w:type="dxa"/>
          </w:tcPr>
          <w:p>
            <w:pPr>
              <w:pStyle w:val="0"/>
            </w:pPr>
            <w:r>
              <w:rPr>
                <w:sz w:val="20"/>
              </w:rPr>
            </w:r>
          </w:p>
        </w:tc>
        <w:tc>
          <w:tcPr>
            <w:tcW w:w="1361" w:type="dxa"/>
          </w:tcPr>
          <w:p>
            <w:pPr>
              <w:pStyle w:val="0"/>
            </w:pPr>
            <w:r>
              <w:rPr>
                <w:sz w:val="20"/>
              </w:rPr>
            </w:r>
          </w:p>
        </w:tc>
      </w:tr>
    </w:tbl>
    <w:p>
      <w:pPr>
        <w:sectPr>
          <w:headerReference w:type="default" r:id="rId90"/>
          <w:headerReference w:type="first" r:id="rId90"/>
          <w:footerReference w:type="default" r:id="rId91"/>
          <w:footerReference w:type="first" r:id="rId91"/>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762"/>
        <w:gridCol w:w="1290"/>
        <w:gridCol w:w="340"/>
        <w:gridCol w:w="2665"/>
      </w:tblGrid>
      <w:tr>
        <w:tc>
          <w:tcPr>
            <w:tcW w:w="4762" w:type="dxa"/>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w:t>
            </w:r>
          </w:p>
        </w:tc>
        <w:tc>
          <w:tcPr>
            <w:gridSpan w:val="3"/>
            <w:tcW w:w="4295"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r>
        <w:tc>
          <w:tcPr>
            <w:tcW w:w="4762" w:type="dxa"/>
            <w:tcBorders>
              <w:top w:val="nil"/>
              <w:left w:val="nil"/>
              <w:bottom w:val="nil"/>
              <w:right w:val="nil"/>
            </w:tcBorders>
          </w:tcPr>
          <w:p>
            <w:pPr>
              <w:pStyle w:val="0"/>
            </w:pPr>
            <w:r>
              <w:rPr>
                <w:sz w:val="20"/>
              </w:rPr>
              <w:t xml:space="preserve">Ответственный исполнитель</w:t>
            </w:r>
          </w:p>
        </w:tc>
        <w:tc>
          <w:tcPr>
            <w:tcW w:w="12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single" w:sz="4"/>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Минэкономразвития России от 27.03.2025 N 195</w:t>
            <w:br/>
            <w:t>"Об утверждении Требований для реализации субъектами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Минэкономразвития России от 27.03.2025 N 195</w:t>
            <w:br/>
            <w:t>"Об утверждении Требований для реализации субъектами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505966&amp;dst=76" TargetMode = "External"/><Relationship Id="rId9" Type="http://schemas.openxmlformats.org/officeDocument/2006/relationships/hyperlink" Target="https://login.consultant.ru/link/?req=doc&amp;base=RZR&amp;n=505966&amp;dst=417" TargetMode = "External"/><Relationship Id="rId10" Type="http://schemas.openxmlformats.org/officeDocument/2006/relationships/hyperlink" Target="https://login.consultant.ru/link/?req=doc&amp;base=RZR&amp;n=504023&amp;dst=766" TargetMode = "External"/><Relationship Id="rId11" Type="http://schemas.openxmlformats.org/officeDocument/2006/relationships/hyperlink" Target="https://login.consultant.ru/link/?req=doc&amp;base=RZR&amp;n=511801&amp;dst=78097" TargetMode = "External"/><Relationship Id="rId12" Type="http://schemas.openxmlformats.org/officeDocument/2006/relationships/hyperlink" Target="https://login.consultant.ru/link/?req=doc&amp;base=RZR&amp;n=511801&amp;dst=78087" TargetMode = "External"/><Relationship Id="rId13" Type="http://schemas.openxmlformats.org/officeDocument/2006/relationships/hyperlink" Target="https://login.consultant.ru/link/?req=doc&amp;base=RZR&amp;n=505966" TargetMode = "External"/><Relationship Id="rId14" Type="http://schemas.openxmlformats.org/officeDocument/2006/relationships/hyperlink" Target="https://login.consultant.ru/link/?req=doc&amp;base=RZR&amp;n=495068" TargetMode = "External"/><Relationship Id="rId15" Type="http://schemas.openxmlformats.org/officeDocument/2006/relationships/hyperlink" Target="https://login.consultant.ru/link/?req=doc&amp;base=RZR&amp;n=451889" TargetMode = "External"/><Relationship Id="rId16" Type="http://schemas.openxmlformats.org/officeDocument/2006/relationships/hyperlink" Target="https://login.consultant.ru/link/?req=doc&amp;base=RZR&amp;n=355912" TargetMode = "External"/><Relationship Id="rId17" Type="http://schemas.openxmlformats.org/officeDocument/2006/relationships/hyperlink" Target="https://login.consultant.ru/link/?req=doc&amp;base=RZR&amp;n=511801&amp;dst=100016" TargetMode = "External"/><Relationship Id="rId18" Type="http://schemas.openxmlformats.org/officeDocument/2006/relationships/hyperlink" Target="https://login.consultant.ru/link/?req=doc&amp;base=RZR&amp;n=505912" TargetMode = "External"/><Relationship Id="rId19" Type="http://schemas.openxmlformats.org/officeDocument/2006/relationships/hyperlink" Target="https://login.consultant.ru/link/?req=doc&amp;base=RZR&amp;n=505912" TargetMode = "External"/><Relationship Id="rId20" Type="http://schemas.openxmlformats.org/officeDocument/2006/relationships/hyperlink" Target="https://login.consultant.ru/link/?req=doc&amp;base=RZR&amp;n=495112" TargetMode = "External"/><Relationship Id="rId21" Type="http://schemas.openxmlformats.org/officeDocument/2006/relationships/hyperlink" Target="https://login.consultant.ru/link/?req=doc&amp;base=RZR&amp;n=505966&amp;dst=413" TargetMode = "External"/><Relationship Id="rId22" Type="http://schemas.openxmlformats.org/officeDocument/2006/relationships/hyperlink" Target="https://login.consultant.ru/link/?req=doc&amp;base=RZR&amp;n=481915&amp;dst=101169" TargetMode = "External"/><Relationship Id="rId23" Type="http://schemas.openxmlformats.org/officeDocument/2006/relationships/hyperlink" Target="https://login.consultant.ru/link/?req=doc&amp;base=RZR&amp;n=426999" TargetMode = "External"/><Relationship Id="rId24" Type="http://schemas.openxmlformats.org/officeDocument/2006/relationships/hyperlink" Target="https://login.consultant.ru/link/?req=doc&amp;base=RZR&amp;n=506195" TargetMode = "External"/><Relationship Id="rId25" Type="http://schemas.openxmlformats.org/officeDocument/2006/relationships/hyperlink" Target="https://login.consultant.ru/link/?req=doc&amp;base=RZR&amp;n=506195&amp;dst=100711" TargetMode = "External"/><Relationship Id="rId26" Type="http://schemas.openxmlformats.org/officeDocument/2006/relationships/hyperlink" Target="https://login.consultant.ru/link/?req=doc&amp;base=RZR&amp;n=506195&amp;dst=104304" TargetMode = "External"/><Relationship Id="rId27" Type="http://schemas.openxmlformats.org/officeDocument/2006/relationships/hyperlink" Target="https://login.consultant.ru/link/?req=doc&amp;base=RZR&amp;n=506195&amp;dst=104365" TargetMode = "External"/><Relationship Id="rId28" Type="http://schemas.openxmlformats.org/officeDocument/2006/relationships/hyperlink" Target="https://login.consultant.ru/link/?req=doc&amp;base=RZR&amp;n=506195&amp;dst=104792" TargetMode = "External"/><Relationship Id="rId29" Type="http://schemas.openxmlformats.org/officeDocument/2006/relationships/hyperlink" Target="https://login.consultant.ru/link/?req=doc&amp;base=RZR&amp;n=506195&amp;dst=105118" TargetMode = "External"/><Relationship Id="rId30" Type="http://schemas.openxmlformats.org/officeDocument/2006/relationships/hyperlink" Target="https://login.consultant.ru/link/?req=doc&amp;base=RZR&amp;n=482580" TargetMode = "External"/><Relationship Id="rId31" Type="http://schemas.openxmlformats.org/officeDocument/2006/relationships/hyperlink" Target="https://login.consultant.ru/link/?req=doc&amp;base=RZR&amp;n=495068&amp;dst=401" TargetMode = "External"/><Relationship Id="rId32" Type="http://schemas.openxmlformats.org/officeDocument/2006/relationships/hyperlink" Target="https://login.consultant.ru/link/?req=doc&amp;base=RZR&amp;n=495068&amp;dst=401" TargetMode = "External"/><Relationship Id="rId33" Type="http://schemas.openxmlformats.org/officeDocument/2006/relationships/image" Target="media/image2.wmf"/><Relationship Id="rId34" Type="http://schemas.openxmlformats.org/officeDocument/2006/relationships/hyperlink" Target="https://login.consultant.ru/link/?req=doc&amp;base=RZR&amp;n=355912" TargetMode = "External"/><Relationship Id="rId35" Type="http://schemas.openxmlformats.org/officeDocument/2006/relationships/hyperlink" Target="https://login.consultant.ru/link/?req=doc&amp;base=RZR&amp;n=451889" TargetMode = "External"/><Relationship Id="rId36" Type="http://schemas.openxmlformats.org/officeDocument/2006/relationships/image" Target="media/image3.wmf"/><Relationship Id="rId37" Type="http://schemas.openxmlformats.org/officeDocument/2006/relationships/image" Target="media/image4.wmf"/><Relationship Id="rId38" Type="http://schemas.openxmlformats.org/officeDocument/2006/relationships/image" Target="media/image5.wmf"/><Relationship Id="rId39" Type="http://schemas.openxmlformats.org/officeDocument/2006/relationships/image" Target="media/image6.wmf"/><Relationship Id="rId40" Type="http://schemas.openxmlformats.org/officeDocument/2006/relationships/image" Target="media/image7.wmf"/><Relationship Id="rId41" Type="http://schemas.openxmlformats.org/officeDocument/2006/relationships/image" Target="media/image8.wmf"/><Relationship Id="rId42" Type="http://schemas.openxmlformats.org/officeDocument/2006/relationships/image" Target="media/image9.wmf"/><Relationship Id="rId43" Type="http://schemas.openxmlformats.org/officeDocument/2006/relationships/image" Target="media/image10.wmf"/><Relationship Id="rId44" Type="http://schemas.openxmlformats.org/officeDocument/2006/relationships/hyperlink" Target="https://login.consultant.ru/link/?req=doc&amp;base=RZR&amp;n=487993&amp;dst=100228" TargetMode = "External"/><Relationship Id="rId45" Type="http://schemas.openxmlformats.org/officeDocument/2006/relationships/hyperlink" Target="https://login.consultant.ru/link/?req=doc&amp;base=RZR&amp;n=490991&amp;dst=100346" TargetMode = "External"/><Relationship Id="rId46" Type="http://schemas.openxmlformats.org/officeDocument/2006/relationships/hyperlink" Target="https://login.consultant.ru/link/?req=doc&amp;base=RZR&amp;n=490991&amp;dst=101009" TargetMode = "External"/><Relationship Id="rId47" Type="http://schemas.openxmlformats.org/officeDocument/2006/relationships/hyperlink" Target="https://login.consultant.ru/link/?req=doc&amp;base=RZR&amp;n=473305" TargetMode = "External"/><Relationship Id="rId48" Type="http://schemas.openxmlformats.org/officeDocument/2006/relationships/hyperlink" Target="https://login.consultant.ru/link/?req=doc&amp;base=RZR&amp;n=473305" TargetMode = "External"/><Relationship Id="rId49" Type="http://schemas.openxmlformats.org/officeDocument/2006/relationships/hyperlink" Target="https://login.consultant.ru/link/?req=doc&amp;base=RZR&amp;n=489030&amp;dst=100029" TargetMode = "External"/><Relationship Id="rId50" Type="http://schemas.openxmlformats.org/officeDocument/2006/relationships/hyperlink" Target="https://login.consultant.ru/link/?req=doc&amp;base=RZR&amp;n=489030&amp;dst=68" TargetMode = "External"/><Relationship Id="rId51" Type="http://schemas.openxmlformats.org/officeDocument/2006/relationships/hyperlink" Target="https://login.consultant.ru/link/?req=doc&amp;base=RZR&amp;n=489030&amp;dst=439" TargetMode = "External"/><Relationship Id="rId52" Type="http://schemas.openxmlformats.org/officeDocument/2006/relationships/hyperlink" Target="https://login.consultant.ru/link/?req=doc&amp;base=RZR&amp;n=489030&amp;dst=179" TargetMode = "External"/><Relationship Id="rId53" Type="http://schemas.openxmlformats.org/officeDocument/2006/relationships/hyperlink" Target="https://login.consultant.ru/link/?req=doc&amp;base=RZR&amp;n=489030&amp;dst=100228" TargetMode = "External"/><Relationship Id="rId54" Type="http://schemas.openxmlformats.org/officeDocument/2006/relationships/hyperlink" Target="https://login.consultant.ru/link/?req=doc&amp;base=RZR&amp;n=494990" TargetMode = "External"/><Relationship Id="rId55" Type="http://schemas.openxmlformats.org/officeDocument/2006/relationships/hyperlink" Target="https://login.consultant.ru/link/?req=doc&amp;base=RZR&amp;n=483052" TargetMode = "External"/><Relationship Id="rId56" Type="http://schemas.openxmlformats.org/officeDocument/2006/relationships/hyperlink" Target="https://login.consultant.ru/link/?req=doc&amp;base=RZR&amp;n=489030&amp;dst=74" TargetMode = "External"/><Relationship Id="rId57" Type="http://schemas.openxmlformats.org/officeDocument/2006/relationships/hyperlink" Target="https://login.consultant.ru/link/?req=doc&amp;base=RZR&amp;n=494990&amp;dst=2478" TargetMode = "External"/><Relationship Id="rId58" Type="http://schemas.openxmlformats.org/officeDocument/2006/relationships/hyperlink" Target="https://login.consultant.ru/link/?req=doc&amp;base=RZR&amp;n=483052" TargetMode = "External"/><Relationship Id="rId59" Type="http://schemas.openxmlformats.org/officeDocument/2006/relationships/hyperlink" Target="https://login.consultant.ru/link/?req=doc&amp;base=RZR&amp;n=483052&amp;dst=442" TargetMode = "External"/><Relationship Id="rId60" Type="http://schemas.openxmlformats.org/officeDocument/2006/relationships/hyperlink" Target="https://login.consultant.ru/link/?req=doc&amp;base=RZR&amp;n=511801&amp;dst=78113" TargetMode = "External"/><Relationship Id="rId61" Type="http://schemas.openxmlformats.org/officeDocument/2006/relationships/hyperlink" Target="https://login.consultant.ru/link/?req=doc&amp;base=RZR&amp;n=494996&amp;dst=100346" TargetMode = "External"/><Relationship Id="rId62" Type="http://schemas.openxmlformats.org/officeDocument/2006/relationships/hyperlink" Target="https://login.consultant.ru/link/?req=doc&amp;base=RZR&amp;n=499361&amp;dst=100151" TargetMode = "External"/><Relationship Id="rId63" Type="http://schemas.openxmlformats.org/officeDocument/2006/relationships/hyperlink" Target="https://login.consultant.ru/link/?req=doc&amp;base=RZR&amp;n=508513" TargetMode = "External"/><Relationship Id="rId64" Type="http://schemas.openxmlformats.org/officeDocument/2006/relationships/hyperlink" Target="https://login.consultant.ru/link/?req=doc&amp;base=RZR&amp;n=501278&amp;dst=100010" TargetMode = "External"/><Relationship Id="rId65" Type="http://schemas.openxmlformats.org/officeDocument/2006/relationships/hyperlink" Target="https://login.consultant.ru/link/?req=doc&amp;base=RZR&amp;n=199235&amp;dst=3" TargetMode = "External"/><Relationship Id="rId66" Type="http://schemas.openxmlformats.org/officeDocument/2006/relationships/hyperlink" Target="https://login.consultant.ru/link/?req=doc&amp;base=RZR&amp;n=505966&amp;dst=357" TargetMode = "External"/><Relationship Id="rId67" Type="http://schemas.openxmlformats.org/officeDocument/2006/relationships/hyperlink" Target="https://login.consultant.ru/link/?req=doc&amp;base=RZR&amp;n=511801&amp;dst=100016" TargetMode = "External"/><Relationship Id="rId68" Type="http://schemas.openxmlformats.org/officeDocument/2006/relationships/hyperlink" Target="https://login.consultant.ru/link/?req=doc&amp;base=RZR&amp;n=505966&amp;dst=357" TargetMode = "External"/><Relationship Id="rId69" Type="http://schemas.openxmlformats.org/officeDocument/2006/relationships/hyperlink" Target="https://login.consultant.ru/link/?req=doc&amp;base=RZR&amp;n=488316" TargetMode = "External"/><Relationship Id="rId70" Type="http://schemas.openxmlformats.org/officeDocument/2006/relationships/hyperlink" Target="https://login.consultant.ru/link/?req=doc&amp;base=RZR&amp;n=492742&amp;dst=101731" TargetMode = "External"/><Relationship Id="rId71" Type="http://schemas.openxmlformats.org/officeDocument/2006/relationships/hyperlink" Target="https://login.consultant.ru/link/?req=doc&amp;base=RZR&amp;n=387259&amp;dst=537" TargetMode = "External"/><Relationship Id="rId72" Type="http://schemas.openxmlformats.org/officeDocument/2006/relationships/hyperlink" Target="https://login.consultant.ru/link/?req=doc&amp;base=RZR&amp;n=511491&amp;dst=20058" TargetMode = "External"/><Relationship Id="rId73" Type="http://schemas.openxmlformats.org/officeDocument/2006/relationships/hyperlink" Target="https://login.consultant.ru/link/?req=doc&amp;base=RZR&amp;n=473928&amp;dst=29" TargetMode = "External"/><Relationship Id="rId74" Type="http://schemas.openxmlformats.org/officeDocument/2006/relationships/hyperlink" Target="https://login.consultant.ru/link/?req=doc&amp;base=RZR&amp;n=473927&amp;dst=234" TargetMode = "External"/><Relationship Id="rId75" Type="http://schemas.openxmlformats.org/officeDocument/2006/relationships/hyperlink" Target="https://login.consultant.ru/link/?req=doc&amp;base=RZR&amp;n=511801&amp;dst=78120" TargetMode = "External"/><Relationship Id="rId76" Type="http://schemas.openxmlformats.org/officeDocument/2006/relationships/hyperlink" Target="https://login.consultant.ru/link/?req=doc&amp;base=RZR&amp;n=511801&amp;dst=78120" TargetMode = "External"/><Relationship Id="rId77" Type="http://schemas.openxmlformats.org/officeDocument/2006/relationships/hyperlink" Target="https://login.consultant.ru/link/?req=doc&amp;base=RZR&amp;n=511801&amp;dst=78120" TargetMode = "External"/><Relationship Id="rId78" Type="http://schemas.openxmlformats.org/officeDocument/2006/relationships/hyperlink" Target="https://login.consultant.ru/link/?req=doc&amp;base=RZR&amp;n=511801&amp;dst=78120" TargetMode = "External"/><Relationship Id="rId79" Type="http://schemas.openxmlformats.org/officeDocument/2006/relationships/hyperlink" Target="https://login.consultant.ru/link/?req=doc&amp;base=RZR&amp;n=511801&amp;dst=78120" TargetMode = "External"/><Relationship Id="rId80" Type="http://schemas.openxmlformats.org/officeDocument/2006/relationships/hyperlink" Target="https://login.consultant.ru/link/?req=doc&amp;base=RZR&amp;n=506195" TargetMode = "External"/><Relationship Id="rId81" Type="http://schemas.openxmlformats.org/officeDocument/2006/relationships/hyperlink" Target="https://login.consultant.ru/link/?req=doc&amp;base=RZR&amp;n=511801&amp;dst=78093" TargetMode = "External"/><Relationship Id="rId82" Type="http://schemas.openxmlformats.org/officeDocument/2006/relationships/hyperlink" Target="https://login.consultant.ru/link/?req=doc&amp;base=RZR&amp;n=511801&amp;dst=100016" TargetMode = "External"/><Relationship Id="rId83" Type="http://schemas.openxmlformats.org/officeDocument/2006/relationships/hyperlink" Target="https://login.consultant.ru/link/?req=doc&amp;base=RZR&amp;n=511801&amp;dst=78199" TargetMode = "External"/><Relationship Id="rId84" Type="http://schemas.openxmlformats.org/officeDocument/2006/relationships/hyperlink" Target="https://login.consultant.ru/link/?req=doc&amp;base=RZR&amp;n=473928&amp;dst=29" TargetMode = "External"/><Relationship Id="rId85" Type="http://schemas.openxmlformats.org/officeDocument/2006/relationships/hyperlink" Target="https://login.consultant.ru/link/?req=doc&amp;base=RZR&amp;n=473927&amp;dst=234" TargetMode = "External"/><Relationship Id="rId86" Type="http://schemas.openxmlformats.org/officeDocument/2006/relationships/hyperlink" Target="https://login.consultant.ru/link/?req=doc&amp;base=RZR&amp;n=195013&amp;dst=100223" TargetMode = "External"/><Relationship Id="rId87" Type="http://schemas.openxmlformats.org/officeDocument/2006/relationships/hyperlink" Target="https://login.consultant.ru/link/?req=doc&amp;base=RZR&amp;n=197093" TargetMode = "External"/><Relationship Id="rId88" Type="http://schemas.openxmlformats.org/officeDocument/2006/relationships/hyperlink" Target="https://login.consultant.ru/link/?req=doc&amp;base=RZR&amp;n=194941&amp;dst=100131" TargetMode = "External"/><Relationship Id="rId89" Type="http://schemas.openxmlformats.org/officeDocument/2006/relationships/hyperlink" Target="https://login.consultant.ru/link/?req=doc&amp;base=RZR&amp;n=195303" TargetMode = "External"/><Relationship Id="rId90" Type="http://schemas.openxmlformats.org/officeDocument/2006/relationships/header" Target="header2.xml"/><Relationship Id="rId91" Type="http://schemas.openxmlformats.org/officeDocument/2006/relationships/footer" Target="footer2.xm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27.03.2025 N 195
"Об утверждении Требований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предусматривающих основные направления расходов при реализации мероприятий, ключевые показате</dc:title>
  <dcterms:created xsi:type="dcterms:W3CDTF">2025-08-14T22:24:14Z</dcterms:created>
</cp:coreProperties>
</file>